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E2AB" w14:textId="77777777" w:rsidR="00845561" w:rsidRDefault="00845561" w:rsidP="00845561">
      <w:pPr>
        <w:rPr>
          <w:rFonts w:asciiTheme="minorHAnsi" w:hAnsiTheme="minorHAnsi"/>
          <w:sz w:val="36"/>
          <w:szCs w:val="36"/>
        </w:rPr>
      </w:pPr>
      <w:r>
        <w:rPr>
          <w:sz w:val="36"/>
        </w:rPr>
        <w:t>Ökad vattenkompetens och internationalisering – ansökningsanvisningar</w:t>
      </w:r>
    </w:p>
    <w:p w14:paraId="70529216" w14:textId="77777777" w:rsidR="00845561" w:rsidRDefault="00845561" w:rsidP="00845561"/>
    <w:p w14:paraId="7F0DA6B0" w14:textId="69AEC1ED" w:rsidR="00845561" w:rsidRDefault="00845561" w:rsidP="00845561">
      <w:r>
        <w:t xml:space="preserve">I Finlands program för hållbar tillväxt ingår investeringar i fyra spetsprogram för tillväxt. Ett av dessa är Ökad vattenkompetens och internationalisering. </w:t>
      </w:r>
    </w:p>
    <w:p w14:paraId="6F681399" w14:textId="77777777" w:rsidR="00845561" w:rsidRDefault="00845561" w:rsidP="00845561"/>
    <w:p w14:paraId="49C0B5C8" w14:textId="2ABB52E6" w:rsidR="00845561" w:rsidRDefault="00845561" w:rsidP="00845561">
      <w:r>
        <w:t xml:space="preserve">NTM-centralen i Södra Savolax genomför en öppen projektansökan under perioden 15.9–31.10.2023. I den öppna projektansökan söker man med de villkor och begränsningar som beskrivs i denna ansökningsannons utvecklingsprojekt som ökar finländarnas vattenkompetens, affärsverksamheten som grundar sig på den samt internationalisering. </w:t>
      </w:r>
    </w:p>
    <w:p w14:paraId="638BC2DD" w14:textId="77777777" w:rsidR="007B6C36" w:rsidRDefault="007B6C36" w:rsidP="00845561">
      <w:pPr>
        <w:spacing w:after="100" w:afterAutospacing="1"/>
      </w:pPr>
    </w:p>
    <w:p w14:paraId="010A9FA3" w14:textId="4722D9F7" w:rsidR="00845561" w:rsidRDefault="00845561" w:rsidP="00845561">
      <w:pPr>
        <w:spacing w:after="100" w:afterAutospacing="1"/>
        <w:rPr>
          <w:color w:val="0F0F0F"/>
          <w:shd w:val="clear" w:color="auto" w:fill="FFFFFF"/>
        </w:rPr>
      </w:pPr>
      <w:r>
        <w:t>Högst 3,5 miljoner euro beviljas från moment 30.40.31 att användas under åren 2022–2025 som finansiering för projekt i anslutning till Finlands program för hållbar tillväxt. Under den första ansökningsomgången våren 2022 användes 1,76 miljoner euro av den beviljade summan (</w:t>
      </w:r>
      <w:hyperlink r:id="rId15" w:history="1">
        <w:r>
          <w:rPr>
            <w:rStyle w:val="Hyperlinkki"/>
          </w:rPr>
          <w:t>https://mmm.fi/-/vesiosaamisen-kasvuun-ja-kansainvalistymiseen-rahoitusta-kestavan-kasvun-ohjelmasta-yhteensa-1-76-milj.-euroa-kymmenelle-vesiosaamisen-hankkeelle?languageId=fi_FI</w:t>
        </w:r>
      </w:hyperlink>
      <w:r>
        <w:t>). Under den andra ansökningsomgången våren 2023 beviljades 1,5 miljoner euro i understöd (</w:t>
      </w:r>
      <w:hyperlink r:id="rId16" w:history="1">
        <w:r w:rsidR="00570522" w:rsidRPr="008F01F3">
          <w:rPr>
            <w:rStyle w:val="Hyperlinkki"/>
          </w:rPr>
          <w:t>https://mmm.fi/sv/-/ny-finansiering-for-okad-vattenkompetens-och-internationalisering-sammanlagt-3-3-miljoner-euro-har-delats-ut-fran-programmet-for-hallbar-tillvaxt-till-21-projekt-for-vattenkompetens</w:t>
        </w:r>
      </w:hyperlink>
      <w:r>
        <w:t xml:space="preserve">). </w:t>
      </w:r>
      <w:r>
        <w:rPr>
          <w:shd w:val="clear" w:color="auto" w:fill="FFFFFF"/>
        </w:rPr>
        <w:t>Sammanlagt 3,3 miljoner euro har nu beviljats för projekt för ökad vattenkompetens och internationalisering för 2022–2025 under två ansökningsomgångar.</w:t>
      </w:r>
      <w:r>
        <w:rPr>
          <w:color w:val="0F0F0F"/>
          <w:shd w:val="clear" w:color="auto" w:fill="FFFFFF"/>
        </w:rPr>
        <w:t xml:space="preserve"> Sammanlagt 49 beviljades stöd.</w:t>
      </w:r>
    </w:p>
    <w:p w14:paraId="0F9AEBDC" w14:textId="77777777" w:rsidR="00845561" w:rsidRDefault="00845561" w:rsidP="00845561">
      <w:pPr>
        <w:rPr>
          <w:rFonts w:cstheme="minorBidi"/>
        </w:rPr>
      </w:pPr>
      <w:r>
        <w:t xml:space="preserve">Nu under den tredje, mer specifika ansökningsomgången, finns 240 000 euro till förfogande. </w:t>
      </w:r>
    </w:p>
    <w:p w14:paraId="678C63C8" w14:textId="77777777" w:rsidR="00845561" w:rsidRDefault="00845561" w:rsidP="00845561">
      <w:pPr>
        <w:rPr>
          <w:sz w:val="32"/>
        </w:rPr>
      </w:pPr>
    </w:p>
    <w:p w14:paraId="455720E1" w14:textId="558EEFA5" w:rsidR="00845561" w:rsidRDefault="00845561" w:rsidP="00845561">
      <w:pPr>
        <w:rPr>
          <w:sz w:val="32"/>
          <w:szCs w:val="32"/>
        </w:rPr>
      </w:pPr>
      <w:r>
        <w:rPr>
          <w:sz w:val="32"/>
        </w:rPr>
        <w:t xml:space="preserve">Vattenbranschens situation och möjligheter till internationell affärsverksamhet </w:t>
      </w:r>
    </w:p>
    <w:p w14:paraId="272A5C48" w14:textId="77777777" w:rsidR="00845561" w:rsidRDefault="00845561" w:rsidP="00845561"/>
    <w:p w14:paraId="3A95216E" w14:textId="0FDCDD81" w:rsidR="00845561" w:rsidRDefault="00845561" w:rsidP="00845561">
      <w:r>
        <w:t xml:space="preserve">Värdet på den globala affärsverksamheten inom vattenbranschen har uppskattats till 400–500 miljarder euro på årsnivå och trenden ökar i och med klimatförändringen. Produktionen av säkert vatten samt reningen och utnyttjandet av avloppsvatten har bedömts inneha en topplacering i fråga om Finlands tillväxtmöjligheter för affärsverksamhet. För att uppnå denna möjlighet till affärsverksamhet riktas stimulansfinansiering av engångskaraktär till programmet Ökad vattenkompetens och internationalisering. </w:t>
      </w:r>
    </w:p>
    <w:p w14:paraId="1B2D0939" w14:textId="77777777" w:rsidR="00845561" w:rsidRDefault="00845561" w:rsidP="00845561"/>
    <w:p w14:paraId="06305846" w14:textId="1F22F566" w:rsidR="00845561" w:rsidRDefault="00845561" w:rsidP="00845561">
      <w:r>
        <w:t xml:space="preserve">Finland är en föregångare inom vattentjänster, både i fråga om kvalitet och täckning. I Finland finns det också betydande kompetens i anslutning till vattenteknologi samt hantering av system och vattenresurser. Detta skapar goda förutsättningar för vattenbranschens internationalisering och export. Värdet på den finländska vattenaffärsverksamheten är cirka 4 miljarder euro och potentialen fram till 2026 uppskattas till 6 miljarder euro. </w:t>
      </w:r>
    </w:p>
    <w:p w14:paraId="66B58B99" w14:textId="77777777" w:rsidR="00845561" w:rsidRDefault="00845561" w:rsidP="00845561"/>
    <w:p w14:paraId="07B72AB5" w14:textId="29C787E8" w:rsidR="00845561" w:rsidRDefault="00845561" w:rsidP="00845561">
      <w:r>
        <w:t xml:space="preserve">En utmaning för internationaliseringen av vattenbranschen och affärsverksamhetens tillväxt är att företagen i branschen är relativt små och att produkt-, teknologi- och tjänsteutbudet är begränsat. Av den här anledningen finns det ett behov av att öka partnerskapen mellan privata och offentliga aktörer, även genom att länka till andra branscher, samt konsortierna som erbjuder helhetslösningar. Att erbjuda en helhetslösning medför ett betydande serviceelement för leveransen och underlättar tillträdet till den internationella marknaden för finländsk vattenkompetens. Styrkor och möjligheter med anknytning till kompetens inom vattenbranschen tillhandahålls till exempel av lösningar för cirkulär ekonomi, såsom utnyttjande av energi, värme och näringsämnen från avloppsvatten samt utnyttjande </w:t>
      </w:r>
      <w:r>
        <w:lastRenderedPageBreak/>
        <w:t xml:space="preserve">av ny teknik såsom digitalisering, automation, robotisering och plattformsekonomi i verksamhet som grundar sig på hållbar användning av vattennaturresurser. </w:t>
      </w:r>
    </w:p>
    <w:p w14:paraId="2914404B" w14:textId="77777777" w:rsidR="00845561" w:rsidRDefault="00845561" w:rsidP="00845561"/>
    <w:p w14:paraId="18EE1ADA" w14:textId="5DB94EE3" w:rsidR="00845561" w:rsidRDefault="00845561" w:rsidP="00845561">
      <w:r>
        <w:t xml:space="preserve">Eftersom vattentjänsterna och förvaltningen av vattenresurserna ofta är verksamhet som staten och kommunerna ansvarar för, är en förutsättning för internationalisering dessutom ofta att den offentliga sektorn deltar i utvecklingen av vattenföretagens kompetens och i främjandet av samarbetet mellan företagen. I många regioner i Finland har det kring vattenkompetensen uppstått kompetenskluster och nätverk som omfattar områdets kommuner, aktörer inom vatten-, energi- och avfallsbranschen, andra företag och läroanstalter. För att utvecklas behövs ett nära samarbete och växelverkan mellan olika sektorer. Samarbetet mellan de regionala vatten- och kompetensklustren samt klustren för cirkulär ekonomi måste stärkas, liksom det nationella samarbetet. </w:t>
      </w:r>
    </w:p>
    <w:p w14:paraId="7983629E" w14:textId="77777777" w:rsidR="00845561" w:rsidRDefault="00845561" w:rsidP="00845561">
      <w:pPr>
        <w:rPr>
          <w:sz w:val="32"/>
        </w:rPr>
      </w:pPr>
    </w:p>
    <w:p w14:paraId="0188E069" w14:textId="08F35152" w:rsidR="00845561" w:rsidRDefault="00845561" w:rsidP="00845561">
      <w:pPr>
        <w:rPr>
          <w:sz w:val="32"/>
          <w:szCs w:val="32"/>
        </w:rPr>
      </w:pPr>
      <w:r>
        <w:rPr>
          <w:sz w:val="32"/>
        </w:rPr>
        <w:t xml:space="preserve">Understödets målsättningar och åtgärder som stöds </w:t>
      </w:r>
    </w:p>
    <w:p w14:paraId="7B15CCFF" w14:textId="77777777" w:rsidR="00845561" w:rsidRDefault="00845561" w:rsidP="00845561">
      <w:r>
        <w:t xml:space="preserve">Programmet för ökad vattenkompetens och internationalisering som finansieras med inkomsterna från EU:s återhämtningsfacilitet är ett av spetsprogrammen för internationell tillväxt (P3C4I2) och stöder projekthelheter inom vattenbranschen som främjar målen för hållbar utveckling och anpassning till klimatförändringen. Projekthelheterna ska grunda sig på intelligenta lösningar och digitalisering, vattenbranschen som möjliggörare av grön övergång, främjande av cirkulär ekonomi med hjälp av vattenbranschens metoder samt ökning av samarbetet mellan vattenbranschen och andra sektorer, förbättring av resurseffektiviteten, energieffektiviteten och vattenkvaliteten samt helhetsbetonade lösningar inom vattenförsörjningen och administrationen av vattenresurserna. </w:t>
      </w:r>
    </w:p>
    <w:p w14:paraId="0E663CF7" w14:textId="77777777" w:rsidR="00845561" w:rsidRDefault="00845561" w:rsidP="00845561">
      <w:pPr>
        <w:spacing w:line="252" w:lineRule="auto"/>
      </w:pPr>
      <w:r>
        <w:t>I denna tredje riktade tilläggsansökan är avsikten att särskilt stöda tvärsektoriell samverkan mellan vattenkompetens, energikompetens och digitalisering eller mellan vattenkompetens och väteekonomi. Särskilt vattenverk önskas delta i ansökningarna. Med tanke på det begränsade beloppet som kan sökas i tilläggsansökan, skulle finansieringen kunna täcka exempelvis tvärsektoriella utredningar.</w:t>
      </w:r>
    </w:p>
    <w:p w14:paraId="033D8529" w14:textId="77777777" w:rsidR="00845561" w:rsidRDefault="00845561" w:rsidP="00845561"/>
    <w:p w14:paraId="6A2A1690" w14:textId="77777777" w:rsidR="00845561" w:rsidRDefault="00845561" w:rsidP="00845561">
      <w:pPr>
        <w:rPr>
          <w:b/>
          <w:bCs/>
        </w:rPr>
      </w:pPr>
      <w:bookmarkStart w:id="0" w:name="_Hlk114560263"/>
      <w:r>
        <w:rPr>
          <w:b/>
        </w:rPr>
        <w:t xml:space="preserve">1. Samarbete mellan aktörerna inom vattenbranschen skapas och utvecklas </w:t>
      </w:r>
    </w:p>
    <w:p w14:paraId="6BB073A5" w14:textId="77777777" w:rsidR="00845561" w:rsidRDefault="00845561" w:rsidP="00845561">
      <w:r>
        <w:t xml:space="preserve">Projekten finansierar konsortier som erbjuder nya lösningar.  Med samarbete avses </w:t>
      </w:r>
      <w:proofErr w:type="gramStart"/>
      <w:r>
        <w:t>bl.a.</w:t>
      </w:r>
      <w:proofErr w:type="gramEnd"/>
      <w:r>
        <w:t xml:space="preserve"> verksamhet i form av konsortier, regionala koncentrationer, vattentjänstverk samt nationella kluster och andra partnerskapsmodeller. En utmaning för internationaliseringen av vattenbranschen och affärsverksamhetens tillväxt är att företagen i branschen är relativt små och att produkt-, teknologi- och tjänsteutbudet är begränsat. Det behövs kompetensbaserade konsortier och lokomotivföretag som erbjuder helhetslösningar. Partnerskapen inom vattenbranschen måste utvecklas för att till exempel forskningsinstitutens och universitetens samt vattentjänstverkens kompetens kan inkluderas i konsortierna.  Projekt som genomförs i samarbete fungerar också som referenser för företag när de ska bygga internationella partnerskap. Projekt enligt punkten kan erbjuda lösningar till exempel inom vattenförsörjningen eller administrationen av vattenresurserna. </w:t>
      </w:r>
    </w:p>
    <w:p w14:paraId="664CFBF8" w14:textId="77777777" w:rsidR="007B6C36" w:rsidRDefault="007B6C36" w:rsidP="00845561"/>
    <w:p w14:paraId="6B516FE8" w14:textId="03BF8B3B" w:rsidR="00845561" w:rsidRDefault="00845561" w:rsidP="00845561">
      <w:r>
        <w:t>I projekten kan man utnyttja möjligheterna till samarbete mellan vattenbranschen och andra branscher: alla samarbetsaktörer behöver inte vara aktörer inom vattenbranschen, utan samarbetsmöjligheter kan också finnas i andra branscher.</w:t>
      </w:r>
    </w:p>
    <w:p w14:paraId="7024FF6A" w14:textId="77777777" w:rsidR="00845561" w:rsidRDefault="00845561" w:rsidP="00845561">
      <w:pPr>
        <w:rPr>
          <w:b/>
        </w:rPr>
      </w:pPr>
    </w:p>
    <w:p w14:paraId="2E3F17EF" w14:textId="406B5191" w:rsidR="00845561" w:rsidRDefault="00845561" w:rsidP="00845561">
      <w:pPr>
        <w:rPr>
          <w:b/>
          <w:bCs/>
        </w:rPr>
      </w:pPr>
      <w:r>
        <w:rPr>
          <w:b/>
        </w:rPr>
        <w:t>2. En ökad internationell affärsverksamhet inom vattenbranschen främjas</w:t>
      </w:r>
    </w:p>
    <w:p w14:paraId="45860105" w14:textId="77777777" w:rsidR="00845561" w:rsidRDefault="00845561" w:rsidP="00845561">
      <w:r>
        <w:t xml:space="preserve">Projekten stödjer åtgärder med hjälp av vilka finländarna i framtiden kommer att vara mer betydande aktörer i den internationella vattenaffärsverksamheten. Den finländska kompetensen inom vattenbranschen kan producera lösningar på globala utmaningar inom vattenbranschen. Med lösningar avses till exempel teknologier, metoder och servicekoncept, eventuellt för ett visst marknadsområde som redan identifierats preliminärt.  För att öka den internationella affärsverksamheten krävs stark marknadskännedom och att systematiskt bygga ett samarbete med internationella partner.  I projekten kan man utnyttja nätverket Team Finland, som har kontaktpersoner och verksamhetsställen runt om i världen. Dessutom kan utländska aktörer delta i projekten. Endast organisationer som är registrerade i Finland kan dock vara föremål för understöd. </w:t>
      </w:r>
    </w:p>
    <w:p w14:paraId="40E1E473" w14:textId="77777777" w:rsidR="00845561" w:rsidRDefault="00845561" w:rsidP="00845561">
      <w:r>
        <w:lastRenderedPageBreak/>
        <w:t xml:space="preserve">Vattentjänsterna och administrationen av vattenresurserna är ofta verksamhet som staten och kommunerna ansvarar för, och därför är en förutsättning för internationalisering många gånger att den offentliga sektorn i högre grad deltar i företagens internationaliseringsverksamhet. Eftersom företagen producerar tjänster för vattentjänstverken i hemlandet är det viktigt att vattentjänstverken deltar i internationella exportkonsortier för att säkerställa trovärdigheten hos den positiva helhetslösning som konsortiet erbjuder.  Vattentjänstverken har hittills endast sällan varit samarbetspartner för företag i internationella projekt. </w:t>
      </w:r>
    </w:p>
    <w:p w14:paraId="5AC99CB9" w14:textId="77777777" w:rsidR="00845561" w:rsidRDefault="00845561" w:rsidP="00845561">
      <w:pPr>
        <w:rPr>
          <w:b/>
        </w:rPr>
      </w:pPr>
    </w:p>
    <w:p w14:paraId="3505DC21" w14:textId="56677A3F" w:rsidR="00845561" w:rsidRDefault="00845561" w:rsidP="00845561">
      <w:pPr>
        <w:rPr>
          <w:b/>
          <w:bCs/>
        </w:rPr>
      </w:pPr>
      <w:r>
        <w:rPr>
          <w:b/>
        </w:rPr>
        <w:t xml:space="preserve">3. Kompetensen, tillväxten och förutsättningarna för internationalisering inom vattenbranschen stärks på andra sätt än de som avses vid punkt 1 och 2 </w:t>
      </w:r>
    </w:p>
    <w:p w14:paraId="3CDABB59" w14:textId="77777777" w:rsidR="00845561" w:rsidRDefault="00845561" w:rsidP="00845561">
      <w:r>
        <w:t>Projekten stödjer lösningar som har en mildrande påverkan på klimatförändringen eller anpassningen till klimatförändringen samt förhindrandet av naturförlust.</w:t>
      </w:r>
      <w:r>
        <w:rPr>
          <w:b/>
        </w:rPr>
        <w:t xml:space="preserve"> </w:t>
      </w:r>
      <w:r>
        <w:t xml:space="preserve">Det kan föreslås att de förutsättningar som eftersträvas ska stärkas även på andra sätt, till exempel genom att intensifiera samarbetet och interaktionen mellan aktörerna inom vattenbranschen och andra sektorer. Projekten kan vara till exempel projekt mellan vattenkompetenskluster och kluster inom cirkulär ekonomi, eller projekt som främjar vattenansvar. </w:t>
      </w:r>
    </w:p>
    <w:bookmarkEnd w:id="0"/>
    <w:p w14:paraId="079BECEB" w14:textId="77777777" w:rsidR="00845561" w:rsidRDefault="00845561" w:rsidP="00845561">
      <w:pPr>
        <w:rPr>
          <w:sz w:val="32"/>
        </w:rPr>
      </w:pPr>
    </w:p>
    <w:p w14:paraId="2E522B9C" w14:textId="038E5D3F" w:rsidR="00845561" w:rsidRDefault="00845561" w:rsidP="00845561">
      <w:pPr>
        <w:rPr>
          <w:sz w:val="32"/>
          <w:szCs w:val="32"/>
        </w:rPr>
      </w:pPr>
      <w:r>
        <w:rPr>
          <w:sz w:val="32"/>
        </w:rPr>
        <w:t xml:space="preserve">Bedömning av projekten </w:t>
      </w:r>
    </w:p>
    <w:p w14:paraId="7D7C7668" w14:textId="77777777" w:rsidR="00845561" w:rsidRDefault="00845561" w:rsidP="00845561"/>
    <w:p w14:paraId="215FD731" w14:textId="3986A533" w:rsidR="00845561" w:rsidRDefault="00845561" w:rsidP="00845561">
      <w:r>
        <w:t xml:space="preserve">Beviljandet av understöd grundar sig på en helhetsbedömning samt en bedömning av projektens förväntade effekt för att öka kompetensen inom vattenbranschen och inom den internationella affärsverksamheten för att uppnå målen. </w:t>
      </w:r>
    </w:p>
    <w:p w14:paraId="413C188D" w14:textId="77777777" w:rsidR="00845561" w:rsidRDefault="00845561" w:rsidP="00845561"/>
    <w:p w14:paraId="74CF2C45" w14:textId="03DC9B3D" w:rsidR="00845561" w:rsidRDefault="00845561" w:rsidP="00845561">
      <w:r>
        <w:t xml:space="preserve">Projektens effektivitet utvärderas särskilt utifrån nedanstående kriterier. </w:t>
      </w:r>
    </w:p>
    <w:p w14:paraId="4AE2391E" w14:textId="77777777" w:rsidR="00845561" w:rsidRDefault="00845561" w:rsidP="00845561">
      <w:pPr>
        <w:spacing w:line="252" w:lineRule="auto"/>
      </w:pPr>
      <w:r>
        <w:t>- Tvärsektoriell samverkan mellan vattenkompetens, energikompetens och digitalisering eller mellan vattenkompetens och väteekonomi. Med tanke på det begränsade beloppet som kan sökas i tilläggsansökan, skulle finansieringen kunna täcka exempelvis tvärsektoriella utredningar.</w:t>
      </w:r>
    </w:p>
    <w:p w14:paraId="63B61D05" w14:textId="77777777" w:rsidR="00845561" w:rsidRDefault="00845561" w:rsidP="00845561">
      <w:r>
        <w:t xml:space="preserve">- Förutsättningar för internationalisering av lösningar och tillämpningar samt en preliminär identifiering av ett eventuellt marknadsområde </w:t>
      </w:r>
    </w:p>
    <w:p w14:paraId="5C8442F3" w14:textId="77777777" w:rsidR="00845561" w:rsidRDefault="00845561" w:rsidP="00845561">
      <w:r>
        <w:t xml:space="preserve">- Lösningarnas och tillämpningarnas ekonomiska livskraft och kommersiella potential samt vid behov finansieringsmöjligheter för fortsatta åtgärder/utveckling </w:t>
      </w:r>
    </w:p>
    <w:p w14:paraId="590940F6" w14:textId="77777777" w:rsidR="00845561" w:rsidRDefault="00845561" w:rsidP="00845561">
      <w:r>
        <w:t xml:space="preserve">- Partnerskap mellan olika aktörer. Särskilt vattenverk önskas delta i ansökningarna.  </w:t>
      </w:r>
    </w:p>
    <w:p w14:paraId="530E11A8" w14:textId="77777777" w:rsidR="00845561" w:rsidRDefault="00845561" w:rsidP="00845561">
      <w:r>
        <w:t xml:space="preserve">- Projektens klimat- och miljövänlighet, projektet stävjar klimatförändringen och/eller naturförlusten jämfört med metoder som är i användning idag eller hjälper till att anpassa sig till klimatförändringen </w:t>
      </w:r>
    </w:p>
    <w:p w14:paraId="5DC83046" w14:textId="77777777" w:rsidR="00845561" w:rsidRDefault="00845561" w:rsidP="00845561">
      <w:r>
        <w:t xml:space="preserve">- Projektens effektivitet och relevans med tanke på målen </w:t>
      </w:r>
    </w:p>
    <w:p w14:paraId="63F0C9E4" w14:textId="77777777" w:rsidR="00845561" w:rsidRDefault="00845561" w:rsidP="00845561">
      <w:r>
        <w:t xml:space="preserve">- Innovation av lösningar och tillämpningar </w:t>
      </w:r>
    </w:p>
    <w:p w14:paraId="277E0F37" w14:textId="77777777" w:rsidR="00845561" w:rsidRDefault="00845561" w:rsidP="00845561">
      <w:r>
        <w:t xml:space="preserve">- Möjlighet att kopiera och utvidga lösningarna och tillämpningarna </w:t>
      </w:r>
    </w:p>
    <w:p w14:paraId="2A1A6D39" w14:textId="77777777" w:rsidR="00845561" w:rsidRDefault="00845561" w:rsidP="00845561">
      <w:r>
        <w:t xml:space="preserve">- Effekterna av projektets åtgärder i förhållande till de uppskattade kostnaderna </w:t>
      </w:r>
    </w:p>
    <w:p w14:paraId="25BD4567" w14:textId="77777777" w:rsidR="00845561" w:rsidRDefault="00845561" w:rsidP="00845561"/>
    <w:p w14:paraId="52DCFF0B" w14:textId="7332C7F9" w:rsidR="00845561" w:rsidRDefault="00845561" w:rsidP="00845561">
      <w:r>
        <w:t xml:space="preserve">Varje projekt som Finlands program för hållbar tillväxt finansierar måste uppfylla kraven enligt principen "Ingen betydande skada" (DNSH) samt beakta den gemensamt definierade exklusiviteten gällande ansökningar inom faciliteten för återhämtning och resiliens (Recovery and resilience Facility, RRF) som är nämnda i kommissionens tillkännagivande 2021/C 58/01 "Teknisk vägledning om tillämpningen av principen om att inte orsaka betydande skada inom ramen för förordningen om faciliteten för återhämtning och resiliens 2021/C 58/01", </w:t>
      </w:r>
      <w:hyperlink r:id="rId17" w:history="1">
        <w:r w:rsidR="009933FE" w:rsidRPr="008F01F3">
          <w:rPr>
            <w:rStyle w:val="Hyperlinkki"/>
            <w:i/>
          </w:rPr>
          <w:t>https://c.europa.eu/info/sites/default/files/c_2021_1054_fi.pdf</w:t>
        </w:r>
      </w:hyperlink>
      <w:r>
        <w:t xml:space="preserve"> </w:t>
      </w:r>
      <w:r w:rsidR="00746C7A">
        <w:t xml:space="preserve">samt </w:t>
      </w:r>
      <w:r>
        <w:t xml:space="preserve">i Finlands miljöcentral SYKE:s rapport "Tillämpning av principen om ingen betydande skada (DNSH) i projekten för Finlands plan för återhämtning och resiliens", </w:t>
      </w:r>
      <w:hyperlink r:id="rId18" w:history="1">
        <w:r>
          <w:rPr>
            <w:rStyle w:val="Hyperlinkki"/>
          </w:rPr>
          <w:t>https://helda.helsinki.fi/handle/10138/339406</w:t>
        </w:r>
      </w:hyperlink>
      <w:r>
        <w:t xml:space="preserve">. Kriterierna för ”ingen betydande skada” presenteras i bilaga 2. </w:t>
      </w:r>
    </w:p>
    <w:p w14:paraId="7D89211F" w14:textId="77777777" w:rsidR="00845561" w:rsidRDefault="00845561" w:rsidP="00845561"/>
    <w:p w14:paraId="033132F3" w14:textId="691C4B7E" w:rsidR="00845561" w:rsidRDefault="00845561" w:rsidP="00845561">
      <w:r>
        <w:t xml:space="preserve">Ansökningarna ska dessutom följa EU:s och Finlands relevanta miljöskyddslagstiftning. </w:t>
      </w:r>
    </w:p>
    <w:p w14:paraId="117C419D" w14:textId="58A7B7C4" w:rsidR="00845561" w:rsidRDefault="00845561" w:rsidP="00845561">
      <w:r>
        <w:lastRenderedPageBreak/>
        <w:t xml:space="preserve">Enligt de angivna kraven i </w:t>
      </w:r>
      <w:hyperlink r:id="rId19" w:history="1">
        <w:r w:rsidRPr="00707001">
          <w:rPr>
            <w:rStyle w:val="Hyperlinkki"/>
          </w:rPr>
          <w:t>CID-länken</w:t>
        </w:r>
      </w:hyperlink>
      <w:r>
        <w:t xml:space="preserve"> och i Finlands miljöcentrals rapport ska man säkerställa att åtgärden följer anvisningen "Ingen betydande skada" (2021/C 58/01). Följande verksamheter och kostnader är inte finansierbara:</w:t>
      </w:r>
    </w:p>
    <w:p w14:paraId="66EDD364" w14:textId="77777777" w:rsidR="00845561" w:rsidRDefault="00845561" w:rsidP="00845561">
      <w:pPr>
        <w:rPr>
          <w:color w:val="FF0000"/>
        </w:rPr>
      </w:pPr>
      <w:r>
        <w:rPr>
          <w:color w:val="FF0000"/>
        </w:rPr>
        <w:t xml:space="preserve"> </w:t>
      </w:r>
    </w:p>
    <w:p w14:paraId="4CD38C61" w14:textId="77777777" w:rsidR="00845561" w:rsidRDefault="00845561" w:rsidP="00845561">
      <w:pPr>
        <w:numPr>
          <w:ilvl w:val="0"/>
          <w:numId w:val="47"/>
        </w:numPr>
        <w:spacing w:after="160" w:line="256" w:lineRule="auto"/>
        <w:rPr>
          <w:strike/>
        </w:rPr>
      </w:pPr>
      <w:r>
        <w:t>åtgärder och kostnader som gäller fossila bränslen, inklusive fortsatt användning av fossila bränslen</w:t>
      </w:r>
      <w:r>
        <w:rPr>
          <w:vertAlign w:val="superscript"/>
          <w:lang w:val="en-IE" w:eastAsia="en-GB"/>
        </w:rPr>
        <w:footnoteReference w:id="1"/>
      </w:r>
      <w:r>
        <w:t>;</w:t>
      </w:r>
      <w:r>
        <w:rPr>
          <w:strike/>
        </w:rPr>
        <w:t xml:space="preserve"> </w:t>
      </w:r>
    </w:p>
    <w:p w14:paraId="6ABD320A" w14:textId="77777777" w:rsidR="00845561" w:rsidRDefault="00845561" w:rsidP="00845561">
      <w:pPr>
        <w:numPr>
          <w:ilvl w:val="0"/>
          <w:numId w:val="47"/>
        </w:numPr>
        <w:spacing w:after="160" w:line="256" w:lineRule="auto"/>
      </w:pPr>
      <w:r>
        <w:t>Åtgärder och kostnader enligt EU:s utsläppshandelssystem (ETS) som resulterar i större förväntade växthusgasutsläpp än de ursprungliga riktmärkesvärdena</w:t>
      </w:r>
      <w:r>
        <w:rPr>
          <w:vertAlign w:val="superscript"/>
          <w:lang w:val="en-IE" w:eastAsia="en-GB"/>
        </w:rPr>
        <w:footnoteReference w:id="2"/>
      </w:r>
      <w:r>
        <w:t xml:space="preserve">; </w:t>
      </w:r>
    </w:p>
    <w:p w14:paraId="77358A70" w14:textId="77777777" w:rsidR="00845561" w:rsidRDefault="00845561" w:rsidP="00845561">
      <w:pPr>
        <w:numPr>
          <w:ilvl w:val="0"/>
          <w:numId w:val="47"/>
        </w:numPr>
        <w:spacing w:after="160" w:line="256" w:lineRule="auto"/>
      </w:pPr>
      <w:r>
        <w:t>åtgärder och kostnader som hänför sig till avstjälpningsplatser, avfallsförbränningsanläggningar och anläggningar för mekanisk/biologisk behandling</w:t>
      </w:r>
      <w:r>
        <w:rPr>
          <w:vertAlign w:val="superscript"/>
          <w:lang w:val="en-IE" w:eastAsia="en-GB"/>
        </w:rPr>
        <w:footnoteReference w:id="3"/>
      </w:r>
      <w:r>
        <w:t>; och</w:t>
      </w:r>
    </w:p>
    <w:p w14:paraId="5C0CDE9A" w14:textId="77777777" w:rsidR="00845561" w:rsidRDefault="00845561" w:rsidP="00845561">
      <w:pPr>
        <w:numPr>
          <w:ilvl w:val="0"/>
          <w:numId w:val="47"/>
        </w:numPr>
        <w:spacing w:after="160" w:line="256" w:lineRule="auto"/>
      </w:pPr>
      <w:r>
        <w:t>åtgärder och kostnader där långsiktig avfallshantering kan orsaka skada för miljön. Endast de åtgärder som följer EU:s och den nationella miljölagstiftningen kan väljas.</w:t>
      </w:r>
      <w:r>
        <w:rPr>
          <w:vertAlign w:val="superscript"/>
          <w:lang w:val="en-IE" w:eastAsia="en-GB"/>
        </w:rPr>
        <w:footnoteReference w:id="4"/>
      </w:r>
    </w:p>
    <w:p w14:paraId="74C493C8" w14:textId="77777777" w:rsidR="00845561" w:rsidRDefault="00845561" w:rsidP="00845561">
      <w:pPr>
        <w:rPr>
          <w:rFonts w:cs="Arial"/>
        </w:rPr>
      </w:pPr>
      <w:r>
        <w:t>Vid bedömningen av projekten ses det som en fördel om ansökan belyser projektets positiva effekter med tanke på anpassningen till och stävjandet av klimatförändringen samt den biologiska mångfalden.</w:t>
      </w:r>
    </w:p>
    <w:p w14:paraId="7CEAD6F1" w14:textId="77777777" w:rsidR="00845561" w:rsidRDefault="00845561" w:rsidP="00845561"/>
    <w:p w14:paraId="346657B1" w14:textId="10C8A83D" w:rsidR="00845561" w:rsidRDefault="00845561" w:rsidP="00845561">
      <w:pPr>
        <w:rPr>
          <w:rFonts w:asciiTheme="minorHAnsi" w:hAnsiTheme="minorHAnsi" w:cstheme="minorBidi"/>
        </w:rPr>
      </w:pPr>
      <w:r>
        <w:t xml:space="preserve">I projekt som genomförs internationellt påverkar också de sociala konsekvenserna, i synnerhet det lokala godkännandet och den sociala hållbarheten, bedömningen. Dessutom grundar sig beviljandet av understöd på en bedömning av projektens kostnadseffektivitet, kvalitet och genomförbarhet. Som en del av projektets kvalitet bedöms också verifierbarheten av projektets effektivitet, särskilt i förhållande till målen. Dessa omständigheter som ska bedömas ska presenteras grundligt i ansökningshandlingarna. I bedömningen beaktas också lösningarnas potential för att skaffa finansiering för vidareutveckling och kommersialisering. </w:t>
      </w:r>
    </w:p>
    <w:p w14:paraId="630E7FAF" w14:textId="77777777" w:rsidR="00845561" w:rsidRDefault="00845561" w:rsidP="00845561"/>
    <w:p w14:paraId="553EFAD7" w14:textId="5844D0E3" w:rsidR="00845561" w:rsidRDefault="00845561" w:rsidP="00845561">
      <w:r>
        <w:t>Det lönar sig att utnyttja de workshoppar och andra tjänster som internationaliseringsprogrammet eller Team Finland-aktörerna ordnat för att förbättra kvaliteten på internationaliseringsplanen i ansökan. Man kan också få hjälp med att planera internationaliseringen genom att använda Team Finland-kontaktblanketten (</w:t>
      </w:r>
      <w:hyperlink r:id="rId20" w:history="1">
        <w:r>
          <w:rPr>
            <w:rStyle w:val="Hyperlinkki"/>
          </w:rPr>
          <w:t>https://yhteydenotto.team.finland.fi/</w:t>
        </w:r>
      </w:hyperlink>
      <w:r>
        <w:t xml:space="preserve">). </w:t>
      </w:r>
    </w:p>
    <w:p w14:paraId="059AB4C1" w14:textId="77777777" w:rsidR="00845561" w:rsidRDefault="00845561" w:rsidP="00845561"/>
    <w:p w14:paraId="6C29E644" w14:textId="3E455A01" w:rsidR="00845561" w:rsidRDefault="00845561" w:rsidP="00845561">
      <w:r>
        <w:t xml:space="preserve">NTM-centralen i Södra Savolax bedömer ansökningarna som inkommit i ansökningsförfarandet i samarbete med en riksomfattande bedömningsgrupp. NTM-centralen i Södra Savolax kan om den så önskar begära en utomstående bedömning av projekten. NTM-centralen i Södra Savolax kan föreslå att olika sökandes projekt slås samman eller ändras. </w:t>
      </w:r>
    </w:p>
    <w:p w14:paraId="1000EBFD" w14:textId="77777777" w:rsidR="00845561" w:rsidRDefault="00845561" w:rsidP="00845561"/>
    <w:p w14:paraId="1E73A894" w14:textId="1B15022B" w:rsidR="00845561" w:rsidRDefault="00845561" w:rsidP="00845561">
      <w:r>
        <w:t xml:space="preserve">NTM-centralen i Södra Savolax kan vid behov kräva att det för det projekt som understöds tillsätts en styrgrupp som godkänner ändringen av projektplanen samt behandlar utbetalningsansökningarna och </w:t>
      </w:r>
      <w:r>
        <w:lastRenderedPageBreak/>
        <w:t xml:space="preserve">mellan- och slutrapporterna innan de lämnas in. NTM-centralen i Södra Savolax har också rätt att utse en sakkunnig till projektets styrgrupp. </w:t>
      </w:r>
    </w:p>
    <w:p w14:paraId="56170291" w14:textId="77777777" w:rsidR="00845561" w:rsidRDefault="00845561" w:rsidP="00845561">
      <w:r>
        <w:t xml:space="preserve">Projekten som finansieras ska stöda uppnåendet av målet för Finlands kolneutralitet 2035. Investeringen i programmet för hållbar tillväxt i Finland ”Ökad vattenkompetens och internationalisering” främjar klimatmålet 40 % och miljömålet 100 %. </w:t>
      </w:r>
    </w:p>
    <w:p w14:paraId="4BCA557C" w14:textId="0E69FD83" w:rsidR="00845561" w:rsidRDefault="00845561" w:rsidP="00845561">
      <w:pPr>
        <w:rPr>
          <w:sz w:val="32"/>
          <w:szCs w:val="32"/>
        </w:rPr>
      </w:pPr>
      <w:r>
        <w:rPr>
          <w:sz w:val="32"/>
        </w:rPr>
        <w:t xml:space="preserve">Understödstagare, understödets maximibelopp samt stödformer </w:t>
      </w:r>
    </w:p>
    <w:p w14:paraId="202DA95C" w14:textId="77777777" w:rsidR="007B6C36" w:rsidRDefault="007B6C36" w:rsidP="00845561"/>
    <w:p w14:paraId="2C3E4399" w14:textId="2B02A982" w:rsidR="00845561" w:rsidRDefault="00845561" w:rsidP="00845561">
      <w:r>
        <w:t xml:space="preserve">Understödet kan ansökas av företag, kommuner, samkommuner och bolagen de äger samt andra kommunägda aktörer, föreningar, och andra sammanslutningar med undantag av statliga ämbetsverk och affärsverk. Understödet kan inte beviljas privatpersoner. </w:t>
      </w:r>
    </w:p>
    <w:p w14:paraId="7472F39A" w14:textId="77777777" w:rsidR="007B6C36" w:rsidRDefault="007B6C36" w:rsidP="00845561"/>
    <w:p w14:paraId="6BB41E58" w14:textId="12C6ECB1" w:rsidR="00845561" w:rsidRDefault="00845561" w:rsidP="00845561">
      <w:r>
        <w:t xml:space="preserve">Projektet som understöds kan också genomföras av ett konsortium, men i detta fall beviljar statsunderstödsmyndigheten endast understöd till den huvudsakliga sökanden, som svarar för projektet för alla parter i konsortiet. Alla parter i konsortiet ska dock uppfylla samma krav som gäller för sökanden. Det finns inget hinder för att de som genomför projektet köper tjänster av statliga ämbetsverk eller inrättningar. Det beviljade understödet kan utgöra högst 75 procent av de godtagbara kostnaderna för en organisation som inte genererar vinst. Projekten som understöds ska alltid ha en självfinansieringsandel. </w:t>
      </w:r>
    </w:p>
    <w:p w14:paraId="680A725D" w14:textId="77777777" w:rsidR="007B6C36" w:rsidRDefault="007B6C36" w:rsidP="00845561"/>
    <w:p w14:paraId="77FD0708" w14:textId="78F848B6" w:rsidR="00845561" w:rsidRDefault="00845561" w:rsidP="00845561">
      <w:r>
        <w:t xml:space="preserve">Om understöd beviljas för ekonomisk verksamhet tillämpas i första hand den allmänna gruppundantagsförordningen (kommissionens förordning 651/2014, artiklarna 25–29). Ekonomisk verksamhet är all verksamhet där varor och tjänster tillhandahålls på marknaden. Stödet som beviljas ett företag bestäms enligt företagets storlek och projektets natur. </w:t>
      </w:r>
    </w:p>
    <w:p w14:paraId="6582EB39" w14:textId="77777777" w:rsidR="007B6C36" w:rsidRDefault="007B6C36" w:rsidP="00845561"/>
    <w:p w14:paraId="4103C1DB" w14:textId="73D24A8D" w:rsidR="00845561" w:rsidRDefault="00845561" w:rsidP="00845561">
      <w:r>
        <w:t xml:space="preserve">Stödformer som beviljas: </w:t>
      </w:r>
    </w:p>
    <w:p w14:paraId="4830C374" w14:textId="77777777" w:rsidR="00845561" w:rsidRDefault="00845561" w:rsidP="00845561">
      <w:r>
        <w:t xml:space="preserve">1 Stöd för forsknings- och utvecklingsprojekt </w:t>
      </w:r>
    </w:p>
    <w:p w14:paraId="11C70B44" w14:textId="77777777" w:rsidR="00845561" w:rsidRDefault="00845561" w:rsidP="00845561">
      <w:r>
        <w:t xml:space="preserve">2 Investeringsstöd för forskningsinfrastruktur </w:t>
      </w:r>
    </w:p>
    <w:p w14:paraId="1C07E62E" w14:textId="77777777" w:rsidR="00845561" w:rsidRDefault="00845561" w:rsidP="00845561">
      <w:r>
        <w:t xml:space="preserve">3 Stöd till innovationskluster </w:t>
      </w:r>
    </w:p>
    <w:p w14:paraId="76162835" w14:textId="77777777" w:rsidR="00845561" w:rsidRDefault="00845561" w:rsidP="00845561">
      <w:r>
        <w:t xml:space="preserve">4 Innovationsstöd till små och medelstora företag </w:t>
      </w:r>
    </w:p>
    <w:p w14:paraId="4B116D9E" w14:textId="77777777" w:rsidR="00845561" w:rsidRDefault="00845561" w:rsidP="00845561">
      <w:r>
        <w:t xml:space="preserve">5 Stöd för process- eller organisationsrelaterad innovationsverksamhet </w:t>
      </w:r>
    </w:p>
    <w:p w14:paraId="4FB51BC5" w14:textId="77777777" w:rsidR="007B6C36" w:rsidRDefault="007B6C36" w:rsidP="00845561"/>
    <w:p w14:paraId="76A723AE" w14:textId="6A86C80A" w:rsidR="00845561" w:rsidRDefault="00845561" w:rsidP="00845561">
      <w:r>
        <w:t xml:space="preserve">I bilaga 1 beskrivs de olika stödformerna och stödprocenterna fastställs för organisationer som bedriver ekonomisk verksamhet. </w:t>
      </w:r>
    </w:p>
    <w:p w14:paraId="35DB3980" w14:textId="77777777" w:rsidR="007B6C36" w:rsidRDefault="007B6C36" w:rsidP="00845561">
      <w:pPr>
        <w:rPr>
          <w:sz w:val="32"/>
        </w:rPr>
      </w:pPr>
    </w:p>
    <w:p w14:paraId="0510CFE3" w14:textId="71F7433C" w:rsidR="00845561" w:rsidRDefault="00845561" w:rsidP="00845561">
      <w:pPr>
        <w:rPr>
          <w:sz w:val="32"/>
          <w:szCs w:val="32"/>
        </w:rPr>
      </w:pPr>
      <w:r>
        <w:rPr>
          <w:sz w:val="32"/>
        </w:rPr>
        <w:t xml:space="preserve">Beviljande av understöd </w:t>
      </w:r>
    </w:p>
    <w:p w14:paraId="60D97C00" w14:textId="77777777" w:rsidR="007B6C36" w:rsidRDefault="007B6C36" w:rsidP="00845561"/>
    <w:p w14:paraId="7103ECBC" w14:textId="3639C223" w:rsidR="00845561" w:rsidRDefault="00845561" w:rsidP="00845561">
      <w:r>
        <w:t xml:space="preserve">Finansieringen beviljas på basis av statsrådets förordning 1092/2021, som fastställer att till vattenbranschen hör i stor utsträckning den samhälleliga verksamheten och sektorerna i anslutning till vatten, inklusive vattenförsörjningen, regleringen av vattendragen, hanteringen av risker för översvämning och torka, torrläggning och bevattning, dammsäkerheten, upprätthållandet av vattenkonstruktioner, vattenskyddet, hanteringen av utsläpp i vattendrag samt annan samhällelig verksamhet som hänför sig till användning, uppföljning och vård av yt- och grundvattentillgångar. Understödets belopp är behovsprövat. </w:t>
      </w:r>
    </w:p>
    <w:p w14:paraId="7702F346" w14:textId="77777777" w:rsidR="007B6C36" w:rsidRDefault="007B6C36" w:rsidP="00845561"/>
    <w:p w14:paraId="3E9DEE1F" w14:textId="1276EA30" w:rsidR="00845561" w:rsidRDefault="00845561" w:rsidP="00845561">
      <w:r>
        <w:t xml:space="preserve">Statsunderstödslagen (688/2001) tillämpas på ansökningsförfarandet samt på beviljandet och administrationen av understöden. Understöden beviljas i form av projektunderstöd enligt 5 § 3 mom. 2 punkten i statsunderstödslagen för försöks-, start-, forsknings- eller utvecklingsprojekt eller för andra projekt med begränsat syfte. Finansiering beviljas inte för investeringar för företagens normala produktion. </w:t>
      </w:r>
    </w:p>
    <w:p w14:paraId="598EDCA2" w14:textId="77777777" w:rsidR="007B6C36" w:rsidRDefault="007B6C36" w:rsidP="00845561"/>
    <w:p w14:paraId="5A9D5EEA" w14:textId="58B31F7F" w:rsidR="00845561" w:rsidRDefault="00845561" w:rsidP="00845561">
      <w:r>
        <w:t xml:space="preserve">Om understödet används för upphandling ska man beakta 5 § 5 punkten i lagen om offentlig upphandling och koncession (1397/2016). Om det understöd som beviljas stöder ekonomisk verksamhet tillämpas EU:s regler för statligt stöd (kommissionens förordning 651/2014), i första hand </w:t>
      </w:r>
      <w:r>
        <w:lastRenderedPageBreak/>
        <w:t xml:space="preserve">den allmänna gruppundantagsförordningen och i andra hand de minimis-förordningen (kommissionens förordning 5 (15) 1407/2013). Mer information om reglerna för statligt stöd finns på arbets- och näringsministeriets webbplats https://tem.fi/sv/reglerna-om-statligt-stod. </w:t>
      </w:r>
    </w:p>
    <w:p w14:paraId="624F1916" w14:textId="77777777" w:rsidR="00845561" w:rsidRDefault="00845561" w:rsidP="00845561">
      <w:r>
        <w:t xml:space="preserve">Det anslag som används för understöden från den tredje ansökningsomgången är tillgängligt fram till slutet av 2025. I praktiken innebär detta att genomförandet av de understödsberättigade åtgärderna för projekten ska avslutas före mitten av augusti 2025. Förlängningar kan inte beviljas för tiden efter 15.8.2025. </w:t>
      </w:r>
    </w:p>
    <w:p w14:paraId="36E10367" w14:textId="77777777" w:rsidR="007B6C36" w:rsidRDefault="007B6C36" w:rsidP="00845561">
      <w:pPr>
        <w:rPr>
          <w:sz w:val="32"/>
        </w:rPr>
      </w:pPr>
    </w:p>
    <w:p w14:paraId="0F825848" w14:textId="6ACC3382" w:rsidR="00845561" w:rsidRDefault="00845561" w:rsidP="00845561">
      <w:pPr>
        <w:rPr>
          <w:sz w:val="32"/>
          <w:szCs w:val="32"/>
        </w:rPr>
      </w:pPr>
      <w:r>
        <w:rPr>
          <w:sz w:val="32"/>
        </w:rPr>
        <w:t xml:space="preserve">Offentlighet och dataskydd </w:t>
      </w:r>
    </w:p>
    <w:p w14:paraId="1AF00BD2" w14:textId="77777777" w:rsidR="007B6C36" w:rsidRDefault="007B6C36" w:rsidP="00845561"/>
    <w:p w14:paraId="16817C3B" w14:textId="714C65F3" w:rsidR="00845561" w:rsidRDefault="00845561" w:rsidP="00845561">
      <w:r>
        <w:t xml:space="preserve">Projektets namn, sökanden, kontaktuppgifter samt ett skrivet sammandrag till projektansökan är offentliga uppgifter. Dessutom är projektets finansieringsbeslut offentlig information. Material och publikationer som produceras i projekten ska vara offentligt tillgängliga för alla. </w:t>
      </w:r>
    </w:p>
    <w:p w14:paraId="20F23C0B" w14:textId="77777777" w:rsidR="007B6C36" w:rsidRDefault="007B6C36" w:rsidP="00845561">
      <w:pPr>
        <w:rPr>
          <w:sz w:val="32"/>
        </w:rPr>
      </w:pPr>
    </w:p>
    <w:p w14:paraId="00878E26" w14:textId="06024A8A" w:rsidR="00845561" w:rsidRDefault="00845561" w:rsidP="00845561">
      <w:pPr>
        <w:rPr>
          <w:sz w:val="32"/>
          <w:szCs w:val="32"/>
        </w:rPr>
      </w:pPr>
      <w:r>
        <w:rPr>
          <w:sz w:val="32"/>
        </w:rPr>
        <w:t xml:space="preserve">Allmänna finansieringskostnader </w:t>
      </w:r>
    </w:p>
    <w:p w14:paraId="0B920768" w14:textId="77777777" w:rsidR="007B6C36" w:rsidRDefault="007B6C36" w:rsidP="00845561"/>
    <w:p w14:paraId="6B64E972" w14:textId="07F63669" w:rsidR="00845561" w:rsidRDefault="00845561" w:rsidP="00845561">
      <w:r>
        <w:t xml:space="preserve">Sökanden kan föreslå allmänna kostnader för projektet antingen med fast ersättning enligt flat rate-modellen eller enligt faktiska förverkligade och betalda kostnader. Sättet på vilket de allmänna kostnaderna presenteras för projektet ska väljas då man ansöker om finansiering. Presentationssättet av de allmänna kostnaderna kan inte ändras under projektperioden. </w:t>
      </w:r>
    </w:p>
    <w:p w14:paraId="435C4CCA" w14:textId="77777777" w:rsidR="007B6C36" w:rsidRDefault="007B6C36" w:rsidP="00845561"/>
    <w:p w14:paraId="195CA99D" w14:textId="7C32C92A" w:rsidR="00845561" w:rsidRDefault="00845561" w:rsidP="00845561">
      <w:r>
        <w:t xml:space="preserve">Sökanden kan föreslå tillämpning av en fast finansiering (s.k. flat rate) för ersättning av projektets allmänna kostnader. Då ersätts utöver de faktiska kostnaderna även ett fast belopp som motsvarar 15 % av de direkta löneutgifterna. </w:t>
      </w:r>
      <w:r>
        <w:rPr>
          <w:strike/>
        </w:rPr>
        <w:t xml:space="preserve"> </w:t>
      </w:r>
      <w:r>
        <w:t xml:space="preserve"> I modellen krävs ingen separat utredning av den fasta delen. Modellen för fast finansiering rekommenderas, eftersom den möjliggör en lättare projektförvaltning då små indirekta kostnader som är svåra att verifiera bortfaller helt och hållet. Exempelvis styrgruppens mötes- och resekostnader ingår i den fasta delen som inte ersätts separat. Däremot kan projektpersonalens resekostnader faktureras enligt de faktiska kostnaderna och antecknas i projektets kostnadskalkyl som ett eget kostnadsställe. </w:t>
      </w:r>
    </w:p>
    <w:p w14:paraId="1B4C52A0" w14:textId="77777777" w:rsidR="007B6C36" w:rsidRDefault="007B6C36" w:rsidP="00845561"/>
    <w:p w14:paraId="12E399F8" w14:textId="46FAB707" w:rsidR="00845561" w:rsidRDefault="00845561" w:rsidP="00845561">
      <w:r>
        <w:t xml:space="preserve">Sökanden kan alternativt presentera projektets allmänna kostnader enligt de faktiska förverkligade och betalda kostnaderna. Då ska sökanden vid ansökan om utbetalning visa upp bilagor som verifierar kostnaderna för de allmänna kostnaderna i fråga. </w:t>
      </w:r>
    </w:p>
    <w:p w14:paraId="5EA0E05B" w14:textId="77777777" w:rsidR="007B6C36" w:rsidRDefault="007B6C36" w:rsidP="00845561">
      <w:pPr>
        <w:rPr>
          <w:sz w:val="32"/>
        </w:rPr>
      </w:pPr>
    </w:p>
    <w:p w14:paraId="40967FD5" w14:textId="5A0A77C0" w:rsidR="00845561" w:rsidRDefault="00845561" w:rsidP="00845561">
      <w:pPr>
        <w:rPr>
          <w:sz w:val="32"/>
          <w:szCs w:val="32"/>
        </w:rPr>
      </w:pPr>
      <w:r>
        <w:rPr>
          <w:sz w:val="32"/>
        </w:rPr>
        <w:t xml:space="preserve">Kommunikation om projekt som finansieras </w:t>
      </w:r>
    </w:p>
    <w:p w14:paraId="18588204" w14:textId="77777777" w:rsidR="007B6C36" w:rsidRDefault="007B6C36" w:rsidP="00845561"/>
    <w:p w14:paraId="68B2E5D1" w14:textId="5CCBFA91" w:rsidR="00845561" w:rsidRDefault="00845561" w:rsidP="00845561">
      <w:r>
        <w:t xml:space="preserve">Den projektgenomförare som beviljats finansiering ska se till att tillräcklig och ändamålsenlig information ges om projektet under dess gång. När projektet inleds utarbetar projektgenomföraren en kommunikationsplan för projektet som ska efterlevas och uppdateras enligt behov. De viktigaste kommunikationsåtgärderna är informering om projektets inledning och särskilt dess resultat till centrala målgrupper. I kommunikationen ska man använda en logotyp som berättar om EU-finansieringen. Närmare anvisningar delas ut när besluten om godkännande av projekten har fattats. </w:t>
      </w:r>
    </w:p>
    <w:p w14:paraId="5E5A4C63" w14:textId="77777777" w:rsidR="007B6C36" w:rsidRDefault="007B6C36" w:rsidP="00845561">
      <w:pPr>
        <w:rPr>
          <w:sz w:val="32"/>
        </w:rPr>
      </w:pPr>
    </w:p>
    <w:p w14:paraId="32278228" w14:textId="1680982A" w:rsidR="00845561" w:rsidRDefault="00845561" w:rsidP="00845561">
      <w:pPr>
        <w:rPr>
          <w:sz w:val="32"/>
          <w:szCs w:val="32"/>
        </w:rPr>
      </w:pPr>
      <w:r>
        <w:rPr>
          <w:sz w:val="32"/>
        </w:rPr>
        <w:t xml:space="preserve">Ansökningsförfarande </w:t>
      </w:r>
    </w:p>
    <w:p w14:paraId="04D3DCE4" w14:textId="77777777" w:rsidR="007B6C36" w:rsidRDefault="007B6C36" w:rsidP="00845561"/>
    <w:p w14:paraId="30B8FC58" w14:textId="49315698" w:rsidR="00845561" w:rsidRDefault="00845561" w:rsidP="00845561">
      <w:r>
        <w:t xml:space="preserve">Ansökan lämnas in elektroniskt i regionförvaltningens e-tjänst. Ansökningstid senast 31.10.2023. Endast ansökningar som lämnats in till ansökningsportalen inom utsatt tid beaktas i ansökan. Ansökan kan lämnas på finska eller svenska. Ansökan undertecknas av en person med namnteckningsrätt som är juridiskt ansvarig för projektets genomförande. </w:t>
      </w:r>
    </w:p>
    <w:p w14:paraId="43B57E35" w14:textId="77777777" w:rsidR="00845561" w:rsidRDefault="00845561" w:rsidP="00845561">
      <w:r>
        <w:t xml:space="preserve">Du går till regionförvaltningens e-tjänst på adressen sahkoinenasiointi.ahtp.fi/sv. </w:t>
      </w:r>
    </w:p>
    <w:p w14:paraId="4513C3D2" w14:textId="77777777" w:rsidR="007B6C36" w:rsidRDefault="007B6C36" w:rsidP="00845561"/>
    <w:p w14:paraId="24B7809C" w14:textId="4ECDB7DF" w:rsidR="00845561" w:rsidRDefault="00845561" w:rsidP="00845561">
      <w:r>
        <w:lastRenderedPageBreak/>
        <w:t xml:space="preserve">Till ansökan bifogas som PDF-filer: </w:t>
      </w:r>
    </w:p>
    <w:p w14:paraId="2ECDB3D8" w14:textId="77777777" w:rsidR="00845561" w:rsidRDefault="00845561" w:rsidP="00845561">
      <w:r>
        <w:t xml:space="preserve">– Projektplan som även innehåller en totalbudget samt en specifik budget för delgenomföranden. - Projektplan på högst 15 sidor </w:t>
      </w:r>
    </w:p>
    <w:p w14:paraId="247930C6" w14:textId="77777777" w:rsidR="00845561" w:rsidRDefault="00845561" w:rsidP="00845561">
      <w:r>
        <w:t xml:space="preserve">- Vid behov handling över namnteckningsrätten </w:t>
      </w:r>
    </w:p>
    <w:p w14:paraId="5850E476" w14:textId="77777777" w:rsidR="00845561" w:rsidRDefault="00845561" w:rsidP="00845561">
      <w:r>
        <w:t xml:space="preserve">- I fråga om samprojekt behövs ett samprojektsavtal som alla parter undertecknat. </w:t>
      </w:r>
    </w:p>
    <w:p w14:paraId="61340D3E" w14:textId="77777777" w:rsidR="007B6C36" w:rsidRDefault="007B6C36" w:rsidP="00845561"/>
    <w:p w14:paraId="3259561D" w14:textId="224C3904" w:rsidR="00845561" w:rsidRDefault="00845561" w:rsidP="00845561">
      <w:r>
        <w:t xml:space="preserve">Sökandens försäkran om att det inte finns några personer under sanktioner involverade i projektverksamheten. </w:t>
      </w:r>
    </w:p>
    <w:p w14:paraId="2F313C3C" w14:textId="77777777" w:rsidR="007B6C36" w:rsidRDefault="007B6C36" w:rsidP="00845561"/>
    <w:p w14:paraId="284968CF" w14:textId="24ECE59B" w:rsidR="00845561" w:rsidRDefault="00845561" w:rsidP="00845561">
      <w:r>
        <w:t xml:space="preserve">Besluten fattas i </w:t>
      </w:r>
      <w:r>
        <w:rPr>
          <w:i/>
        </w:rPr>
        <w:t>december</w:t>
      </w:r>
      <w:r>
        <w:t xml:space="preserve"> 2023 och information om dem ges separat. </w:t>
      </w:r>
    </w:p>
    <w:p w14:paraId="562FACB8" w14:textId="77777777" w:rsidR="007B6C36" w:rsidRDefault="007B6C36" w:rsidP="00845561">
      <w:pPr>
        <w:rPr>
          <w:sz w:val="32"/>
        </w:rPr>
      </w:pPr>
    </w:p>
    <w:p w14:paraId="2346919C" w14:textId="0EE083DF" w:rsidR="00845561" w:rsidRDefault="00845561" w:rsidP="00845561">
      <w:pPr>
        <w:rPr>
          <w:sz w:val="32"/>
          <w:szCs w:val="32"/>
        </w:rPr>
      </w:pPr>
      <w:r>
        <w:rPr>
          <w:sz w:val="32"/>
        </w:rPr>
        <w:t xml:space="preserve">Mer information </w:t>
      </w:r>
    </w:p>
    <w:p w14:paraId="2D5BEFD0" w14:textId="77777777" w:rsidR="007B6C36" w:rsidRDefault="007B6C36" w:rsidP="00845561"/>
    <w:p w14:paraId="654CE14A" w14:textId="7E01FD36" w:rsidR="00845561" w:rsidRDefault="00845561" w:rsidP="00845561">
      <w:r>
        <w:t xml:space="preserve">NTM-centralen i Södra Savolax, projektchef Anitta Sihvonen, tfn 0295 024064, </w:t>
      </w:r>
      <w:hyperlink r:id="rId21" w:history="1">
        <w:r>
          <w:rPr>
            <w:rStyle w:val="Hyperlinkki"/>
          </w:rPr>
          <w:t>anitta.sihvonen@ely-keskus.fi</w:t>
        </w:r>
      </w:hyperlink>
      <w:r>
        <w:t xml:space="preserve"> </w:t>
      </w:r>
    </w:p>
    <w:p w14:paraId="516BC8FF" w14:textId="77777777" w:rsidR="00845561" w:rsidRDefault="00845561" w:rsidP="00845561">
      <w:r>
        <w:t xml:space="preserve">Jord- och skogsbruksministeriet, projektchef Jertta de Mazières, tfn 0295 </w:t>
      </w:r>
      <w:proofErr w:type="gramStart"/>
      <w:r>
        <w:t>162113</w:t>
      </w:r>
      <w:proofErr w:type="gramEnd"/>
      <w:r>
        <w:t xml:space="preserve">, </w:t>
      </w:r>
      <w:hyperlink r:id="rId22" w:history="1">
        <w:r>
          <w:rPr>
            <w:rStyle w:val="Hyperlinkki"/>
          </w:rPr>
          <w:t>jertta.demazieres@gov.fi</w:t>
        </w:r>
      </w:hyperlink>
      <w:r>
        <w:t xml:space="preserve"> </w:t>
      </w:r>
    </w:p>
    <w:p w14:paraId="4DEA5693" w14:textId="77777777" w:rsidR="007B6C36" w:rsidRDefault="007B6C36" w:rsidP="00845561">
      <w:pPr>
        <w:rPr>
          <w:sz w:val="32"/>
        </w:rPr>
      </w:pPr>
    </w:p>
    <w:p w14:paraId="2F0AB4CE" w14:textId="3B0BC752" w:rsidR="00845561" w:rsidRDefault="00845561" w:rsidP="00845561">
      <w:pPr>
        <w:rPr>
          <w:sz w:val="32"/>
          <w:szCs w:val="32"/>
        </w:rPr>
      </w:pPr>
      <w:r>
        <w:rPr>
          <w:sz w:val="32"/>
        </w:rPr>
        <w:t xml:space="preserve">Bilagor </w:t>
      </w:r>
    </w:p>
    <w:p w14:paraId="7F667F61" w14:textId="77777777" w:rsidR="007B6C36" w:rsidRDefault="007B6C36" w:rsidP="00845561"/>
    <w:p w14:paraId="48C71854" w14:textId="7C2D59C3" w:rsidR="00845561" w:rsidRDefault="007B6C36" w:rsidP="00845561">
      <w:r>
        <w:t>B</w:t>
      </w:r>
      <w:r w:rsidR="00845561">
        <w:t xml:space="preserve">ilaga 1: Stödformer och stödprocenter inom programmet för ökad vattenkompetens och internationalisering för organisationer som bedriver ekonomisk verksamhet </w:t>
      </w:r>
    </w:p>
    <w:p w14:paraId="18FD3206" w14:textId="77777777" w:rsidR="00845561" w:rsidRDefault="00845561" w:rsidP="00845561">
      <w:r>
        <w:t>Bilaga 2: Ingen betydande skada (DNSH)-principen</w:t>
      </w:r>
    </w:p>
    <w:p w14:paraId="4474CC0C" w14:textId="77777777" w:rsidR="00845561" w:rsidRDefault="00845561" w:rsidP="00845561">
      <w:r>
        <w:t>Bilaga 3: Anvisning till dem som genomför samprojekt</w:t>
      </w:r>
    </w:p>
    <w:p w14:paraId="4FC4C738" w14:textId="77777777" w:rsidR="00845561" w:rsidRDefault="00845561" w:rsidP="00845561"/>
    <w:p w14:paraId="4B1B8789" w14:textId="77777777" w:rsidR="00845561" w:rsidRDefault="00845561" w:rsidP="00845561"/>
    <w:p w14:paraId="20811E6E" w14:textId="77777777" w:rsidR="007B6C36" w:rsidRDefault="007B6C36" w:rsidP="00845561"/>
    <w:p w14:paraId="1494240B" w14:textId="77777777" w:rsidR="00845561" w:rsidRDefault="00845561" w:rsidP="00512E51">
      <w:pPr>
        <w:pStyle w:val="Otsikko1"/>
        <w:rPr>
          <w:lang w:val="sv-SE"/>
        </w:rPr>
      </w:pPr>
    </w:p>
    <w:p w14:paraId="76358CAF" w14:textId="77777777" w:rsidR="00845561" w:rsidRDefault="00845561" w:rsidP="00512E51">
      <w:pPr>
        <w:pStyle w:val="Otsikko1"/>
        <w:rPr>
          <w:lang w:val="sv-SE"/>
        </w:rPr>
      </w:pPr>
    </w:p>
    <w:p w14:paraId="1425490D" w14:textId="77777777" w:rsidR="00845561" w:rsidRDefault="00845561" w:rsidP="00512E51">
      <w:pPr>
        <w:pStyle w:val="Otsikko1"/>
        <w:rPr>
          <w:lang w:val="sv-SE"/>
        </w:rPr>
      </w:pPr>
    </w:p>
    <w:p w14:paraId="6AFC97C9" w14:textId="77777777" w:rsidR="00845561" w:rsidRDefault="00845561" w:rsidP="00512E51">
      <w:pPr>
        <w:pStyle w:val="Otsikko1"/>
        <w:rPr>
          <w:lang w:val="sv-SE"/>
        </w:rPr>
      </w:pPr>
    </w:p>
    <w:p w14:paraId="0036675D" w14:textId="77777777" w:rsidR="00845561" w:rsidRDefault="00845561" w:rsidP="00512E51">
      <w:pPr>
        <w:pStyle w:val="Otsikko1"/>
        <w:rPr>
          <w:lang w:val="sv-SE"/>
        </w:rPr>
      </w:pPr>
    </w:p>
    <w:p w14:paraId="127C1743" w14:textId="77777777" w:rsidR="00845561" w:rsidRDefault="00845561" w:rsidP="00512E51">
      <w:pPr>
        <w:pStyle w:val="Otsikko1"/>
        <w:rPr>
          <w:lang w:val="sv-SE"/>
        </w:rPr>
      </w:pPr>
    </w:p>
    <w:p w14:paraId="077F959A" w14:textId="77777777" w:rsidR="007B6C36" w:rsidRPr="007B6C36" w:rsidRDefault="007B6C36" w:rsidP="007B6C36">
      <w:pPr>
        <w:pStyle w:val="Sis2"/>
        <w:rPr>
          <w:lang w:val="sv-SE"/>
        </w:rPr>
      </w:pPr>
    </w:p>
    <w:p w14:paraId="0F9B8C05" w14:textId="77777777" w:rsidR="00845561" w:rsidRDefault="00845561" w:rsidP="00512E51">
      <w:pPr>
        <w:pStyle w:val="Otsikko1"/>
        <w:rPr>
          <w:lang w:val="sv-SE"/>
        </w:rPr>
      </w:pPr>
    </w:p>
    <w:p w14:paraId="03A5A200" w14:textId="77777777" w:rsidR="007B6C36" w:rsidRPr="007B6C36" w:rsidRDefault="007B6C36" w:rsidP="007B6C36">
      <w:pPr>
        <w:pStyle w:val="Sis2"/>
        <w:rPr>
          <w:lang w:val="sv-SE"/>
        </w:rPr>
      </w:pPr>
    </w:p>
    <w:p w14:paraId="7833B14E" w14:textId="77777777" w:rsidR="00845561" w:rsidRDefault="00845561" w:rsidP="00512E51">
      <w:pPr>
        <w:pStyle w:val="Otsikko1"/>
        <w:rPr>
          <w:lang w:val="sv-SE"/>
        </w:rPr>
      </w:pPr>
    </w:p>
    <w:p w14:paraId="54D4FD2E" w14:textId="77777777" w:rsidR="002D687C" w:rsidRDefault="002D687C" w:rsidP="002D687C">
      <w:pPr>
        <w:pStyle w:val="Sis2"/>
        <w:rPr>
          <w:lang w:val="sv-SE"/>
        </w:rPr>
      </w:pPr>
    </w:p>
    <w:p w14:paraId="7DC78F68" w14:textId="77777777" w:rsidR="002D687C" w:rsidRPr="002D687C" w:rsidRDefault="002D687C" w:rsidP="002D687C">
      <w:pPr>
        <w:pStyle w:val="Sis2"/>
        <w:rPr>
          <w:lang w:val="sv-SE"/>
        </w:rPr>
      </w:pPr>
    </w:p>
    <w:p w14:paraId="552DF7B5" w14:textId="5D574660" w:rsidR="003C1DDF" w:rsidRPr="006225CA" w:rsidRDefault="00EA7AEF" w:rsidP="00512E51">
      <w:pPr>
        <w:pStyle w:val="Otsikko1"/>
        <w:rPr>
          <w:lang w:val="sv-SE"/>
        </w:rPr>
      </w:pPr>
      <w:bookmarkStart w:id="1" w:name="_Hlk143508607"/>
      <w:r w:rsidRPr="006225CA">
        <w:rPr>
          <w:lang w:val="sv-SE"/>
        </w:rPr>
        <w:lastRenderedPageBreak/>
        <w:t>Bilaga 1: Stödformer och stödprocenter inom programmet för ökad vattenkompetens och internationalisering för organisationer som bedriver ekonomisk verksamhet</w:t>
      </w:r>
    </w:p>
    <w:p w14:paraId="35885D47" w14:textId="6D92350C" w:rsidR="00167E40" w:rsidRPr="006225CA" w:rsidRDefault="0006266C" w:rsidP="00167E40">
      <w:pPr>
        <w:rPr>
          <w:lang w:val="sv-SE"/>
        </w:rPr>
      </w:pPr>
      <w:r w:rsidRPr="006225CA">
        <w:rPr>
          <w:lang w:val="sv-SE"/>
        </w:rPr>
        <w:t>Denna anvisning gäller inte icke-vinstdrivande organisationer, vars stödprocent kan vara 75 %.</w:t>
      </w:r>
    </w:p>
    <w:p w14:paraId="5F84C11B" w14:textId="77777777" w:rsidR="003C1DDF" w:rsidRPr="006225CA" w:rsidRDefault="003C1DDF" w:rsidP="00EA7AEF">
      <w:pPr>
        <w:pStyle w:val="Otsikko2"/>
        <w:rPr>
          <w:lang w:val="sv-SE"/>
        </w:rPr>
      </w:pPr>
      <w:r w:rsidRPr="006225CA">
        <w:rPr>
          <w:lang w:val="sv-SE"/>
        </w:rPr>
        <w:t>1. Stödet till företag för forsknings- och utvecklingsprojekt kan uppgå till högst 75 %</w:t>
      </w:r>
    </w:p>
    <w:p w14:paraId="02F1074C" w14:textId="77777777" w:rsidR="003C1DDF" w:rsidRPr="006225CA" w:rsidRDefault="003C1DDF" w:rsidP="00EA7AEF">
      <w:pPr>
        <w:pStyle w:val="Otsikko3"/>
        <w:rPr>
          <w:lang w:val="sv-SE"/>
        </w:rPr>
      </w:pPr>
      <w:r w:rsidRPr="006225CA">
        <w:rPr>
          <w:lang w:val="sv-SE"/>
        </w:rPr>
        <w:t>Projekttyp: Industriell forskning</w:t>
      </w:r>
    </w:p>
    <w:p w14:paraId="73B1A3F5" w14:textId="6C6AC66F" w:rsidR="003C1DDF" w:rsidRPr="006225CA" w:rsidRDefault="003C1DDF" w:rsidP="00EA7AEF">
      <w:pPr>
        <w:pStyle w:val="Sis1"/>
        <w:rPr>
          <w:lang w:val="sv-SE"/>
        </w:rPr>
      </w:pPr>
      <w:r w:rsidRPr="006225CA">
        <w:rPr>
          <w:lang w:val="sv-SE"/>
        </w:rPr>
        <w:t>Med industriell forskning avses planerad forskning eller kritiska undersökningar med vilka man strävar efter att skaffa sig nya kunskaper och färdigheter och vars syfte är att dessa uppgifter ska kunna användas för att utveckla nya produkter, processer eller tjänster eller att befintliga produkter, processer eller tjänster ska förbättras avsevärt. Den omfattar skapandet av komponenter till komplexa system och kan omfatta uppbyggnad av prototyper i laboratoriemiljö eller i en miljö med simulerade gränssnitt med befintliga system, samt uppbyggnad av pilotproduktionslinjer när de behövs för att bedriva industriell forskning och i synnerhet för att validera generisk teknik.</w:t>
      </w:r>
    </w:p>
    <w:p w14:paraId="574B8C08" w14:textId="77777777" w:rsidR="00EA7AEF" w:rsidRPr="006225CA" w:rsidRDefault="00EA7AEF" w:rsidP="00EA7AEF">
      <w:pPr>
        <w:pStyle w:val="Sis1"/>
        <w:rPr>
          <w:lang w:val="sv-SE"/>
        </w:rPr>
      </w:pPr>
    </w:p>
    <w:p w14:paraId="00EBD470" w14:textId="77777777" w:rsidR="003C1DDF" w:rsidRPr="006225CA" w:rsidRDefault="003C1DDF" w:rsidP="00EA7AEF">
      <w:pPr>
        <w:pStyle w:val="Sis1"/>
        <w:rPr>
          <w:lang w:val="sv-SE"/>
        </w:rPr>
      </w:pPr>
      <w:r w:rsidRPr="006225CA">
        <w:rPr>
          <w:lang w:val="sv-SE"/>
        </w:rPr>
        <w:t>Stödprocent:</w:t>
      </w:r>
    </w:p>
    <w:p w14:paraId="72417C6A" w14:textId="77777777" w:rsidR="003C1DDF" w:rsidRPr="006225CA" w:rsidRDefault="003C1DDF" w:rsidP="0012252C">
      <w:pPr>
        <w:pStyle w:val="Viiva1"/>
        <w:numPr>
          <w:ilvl w:val="0"/>
          <w:numId w:val="28"/>
        </w:numPr>
        <w:rPr>
          <w:lang w:val="sv-SE"/>
        </w:rPr>
      </w:pPr>
      <w:r w:rsidRPr="006225CA">
        <w:rPr>
          <w:lang w:val="sv-SE"/>
        </w:rPr>
        <w:t>medelstora företag 60 %</w:t>
      </w:r>
    </w:p>
    <w:p w14:paraId="554EE365" w14:textId="77777777" w:rsidR="003C1DDF" w:rsidRPr="006225CA" w:rsidRDefault="003C1DDF" w:rsidP="0012252C">
      <w:pPr>
        <w:pStyle w:val="Viiva1"/>
        <w:numPr>
          <w:ilvl w:val="0"/>
          <w:numId w:val="28"/>
        </w:numPr>
        <w:rPr>
          <w:lang w:val="sv-SE"/>
        </w:rPr>
      </w:pPr>
      <w:r w:rsidRPr="006225CA">
        <w:rPr>
          <w:lang w:val="sv-SE"/>
        </w:rPr>
        <w:t>små företag 70 %</w:t>
      </w:r>
    </w:p>
    <w:p w14:paraId="4E768CDB" w14:textId="77777777" w:rsidR="003C1DDF" w:rsidRPr="006225CA" w:rsidRDefault="003C1DDF" w:rsidP="0012252C">
      <w:pPr>
        <w:pStyle w:val="Viiva1"/>
        <w:numPr>
          <w:ilvl w:val="0"/>
          <w:numId w:val="28"/>
        </w:numPr>
        <w:rPr>
          <w:lang w:val="sv-SE"/>
        </w:rPr>
      </w:pPr>
      <w:r w:rsidRPr="006225CA">
        <w:rPr>
          <w:lang w:val="sv-SE"/>
        </w:rPr>
        <w:t>verkligt samarbete eller omfattande spridning av resultat 65 %</w:t>
      </w:r>
    </w:p>
    <w:p w14:paraId="35068E5E" w14:textId="77777777" w:rsidR="003C1DDF" w:rsidRPr="006225CA" w:rsidRDefault="003C1DDF" w:rsidP="0012252C">
      <w:pPr>
        <w:pStyle w:val="Viiva1"/>
        <w:numPr>
          <w:ilvl w:val="0"/>
          <w:numId w:val="28"/>
        </w:numPr>
        <w:rPr>
          <w:lang w:val="sv-SE"/>
        </w:rPr>
      </w:pPr>
      <w:r w:rsidRPr="006225CA">
        <w:rPr>
          <w:lang w:val="sv-SE"/>
        </w:rPr>
        <w:t>verkligt samarbete eller omfattande spridning av resultat i små och medelstora företags projekt 75 %</w:t>
      </w:r>
    </w:p>
    <w:p w14:paraId="579079B3" w14:textId="77777777" w:rsidR="003C1DDF" w:rsidRPr="006225CA" w:rsidRDefault="003C1DDF" w:rsidP="00EA7AEF">
      <w:pPr>
        <w:pStyle w:val="Otsikko3"/>
        <w:rPr>
          <w:b/>
          <w:i/>
          <w:iCs/>
          <w:lang w:val="sv-SE"/>
        </w:rPr>
      </w:pPr>
      <w:r w:rsidRPr="006225CA">
        <w:rPr>
          <w:lang w:val="sv-SE"/>
        </w:rPr>
        <w:t>Projekttyp: Experimentell utveckling</w:t>
      </w:r>
    </w:p>
    <w:p w14:paraId="5C99A1CA" w14:textId="0847E48E" w:rsidR="003C1DDF" w:rsidRPr="006225CA" w:rsidRDefault="003C1DDF" w:rsidP="00EA7AEF">
      <w:pPr>
        <w:pStyle w:val="Sis1"/>
        <w:rPr>
          <w:lang w:val="sv-SE"/>
        </w:rPr>
      </w:pPr>
      <w:r w:rsidRPr="006225CA">
        <w:rPr>
          <w:lang w:val="sv-SE"/>
        </w:rPr>
        <w:t>Med experimentell utveckling avses anskaffning, sammanslagning, bearbetning och användning av befintliga vetenskapliga, tekniska, affärsmässiga och andra relevanta kunskaper och färdigheter i syfte att utveckla nya eller förbättrade produkter, processer eller tjänster. Detta kan också omfatta till exempel verksamhet vars syfte är att definiera, planera och dokumentera grundbegrepp för nya produkter, processer eller tjänster.</w:t>
      </w:r>
    </w:p>
    <w:p w14:paraId="4917C04D" w14:textId="77777777" w:rsidR="00EA7AEF" w:rsidRPr="006225CA" w:rsidRDefault="00EA7AEF" w:rsidP="00EA7AEF">
      <w:pPr>
        <w:pStyle w:val="Sis1"/>
        <w:rPr>
          <w:lang w:val="sv-SE"/>
        </w:rPr>
      </w:pPr>
    </w:p>
    <w:p w14:paraId="0CE0B374" w14:textId="2F3923F6" w:rsidR="003C1DDF" w:rsidRPr="006225CA" w:rsidRDefault="003C1DDF" w:rsidP="00EA7AEF">
      <w:pPr>
        <w:pStyle w:val="Sis1"/>
        <w:rPr>
          <w:lang w:val="sv-SE"/>
        </w:rPr>
      </w:pPr>
      <w:r w:rsidRPr="006225CA">
        <w:rPr>
          <w:lang w:val="sv-SE"/>
        </w:rPr>
        <w:t>Experimentell utveckling kan omfatta prototyper av nya eller förbättrade produkter, processer eller tjänster, demonstrations- och pilotprojekt, testning och validering i en miljö som representerar praktiska verksamhetsbetingelser, när det främsta målet är att göra nya tekniska förbättringar av produkter, processer eller tjänster som ännu inte till stor del är etablerade. Detta kan omfatta utveckling av kommersiellt användbara prototyper och pilotprojekt, när prototypen oundvikligen är en slutgiltig kommersiell produkt och det skulle vara för dyrt att producera prototypen enbart för demonstration och validering.</w:t>
      </w:r>
    </w:p>
    <w:p w14:paraId="3E2573FA" w14:textId="77777777" w:rsidR="00EA7AEF" w:rsidRPr="006225CA" w:rsidRDefault="00EA7AEF" w:rsidP="00EA7AEF">
      <w:pPr>
        <w:pStyle w:val="Sis1"/>
        <w:rPr>
          <w:lang w:val="sv-SE"/>
        </w:rPr>
      </w:pPr>
    </w:p>
    <w:p w14:paraId="2351204A" w14:textId="3DDF0EF8" w:rsidR="003C1DDF" w:rsidRPr="006225CA" w:rsidRDefault="003C1DDF" w:rsidP="00EA7AEF">
      <w:pPr>
        <w:pStyle w:val="Sis1"/>
        <w:rPr>
          <w:lang w:val="sv-SE"/>
        </w:rPr>
      </w:pPr>
      <w:r w:rsidRPr="006225CA">
        <w:rPr>
          <w:lang w:val="sv-SE"/>
        </w:rPr>
        <w:t>Den experimentella utvecklingen omfattar inte rutinmässiga eller regelbundna förändringar av befintliga produkter, produktionslinjer, tillverkningsmetoder, tjänster eller andra pågående verksamheter, även om dessa förändringar skulle innebära förbättringar.</w:t>
      </w:r>
    </w:p>
    <w:p w14:paraId="314E0F12" w14:textId="77777777" w:rsidR="00EA7AEF" w:rsidRPr="006225CA" w:rsidRDefault="00EA7AEF" w:rsidP="00EA7AEF">
      <w:pPr>
        <w:pStyle w:val="Sis1"/>
        <w:rPr>
          <w:lang w:val="sv-SE"/>
        </w:rPr>
      </w:pPr>
    </w:p>
    <w:p w14:paraId="7A5084BB" w14:textId="77777777" w:rsidR="003C1DDF" w:rsidRPr="006225CA" w:rsidRDefault="003C1DDF" w:rsidP="00F76747">
      <w:pPr>
        <w:pStyle w:val="Sis1"/>
        <w:rPr>
          <w:lang w:val="sv-SE"/>
        </w:rPr>
      </w:pPr>
      <w:r w:rsidRPr="006225CA">
        <w:rPr>
          <w:lang w:val="sv-SE"/>
        </w:rPr>
        <w:t>Stödprocent:</w:t>
      </w:r>
    </w:p>
    <w:p w14:paraId="7E00EF91" w14:textId="77777777" w:rsidR="003C1DDF" w:rsidRPr="006225CA" w:rsidRDefault="003C1DDF" w:rsidP="0012252C">
      <w:pPr>
        <w:pStyle w:val="Viiva1"/>
        <w:numPr>
          <w:ilvl w:val="0"/>
          <w:numId w:val="31"/>
        </w:numPr>
        <w:rPr>
          <w:lang w:val="sv-SE"/>
        </w:rPr>
      </w:pPr>
      <w:r w:rsidRPr="006225CA">
        <w:rPr>
          <w:lang w:val="sv-SE"/>
        </w:rPr>
        <w:t>medelstora företag 35 %</w:t>
      </w:r>
    </w:p>
    <w:p w14:paraId="04F394C7" w14:textId="77777777" w:rsidR="003C1DDF" w:rsidRPr="006225CA" w:rsidRDefault="003C1DDF" w:rsidP="0012252C">
      <w:pPr>
        <w:pStyle w:val="Viiva1"/>
        <w:numPr>
          <w:ilvl w:val="0"/>
          <w:numId w:val="31"/>
        </w:numPr>
        <w:rPr>
          <w:lang w:val="sv-SE"/>
        </w:rPr>
      </w:pPr>
      <w:r w:rsidRPr="006225CA">
        <w:rPr>
          <w:lang w:val="sv-SE"/>
        </w:rPr>
        <w:t>små företag 45 %</w:t>
      </w:r>
    </w:p>
    <w:p w14:paraId="0F9F3697" w14:textId="77777777" w:rsidR="003C1DDF" w:rsidRPr="006225CA" w:rsidRDefault="003C1DDF" w:rsidP="0012252C">
      <w:pPr>
        <w:pStyle w:val="Viiva1"/>
        <w:numPr>
          <w:ilvl w:val="0"/>
          <w:numId w:val="31"/>
        </w:numPr>
        <w:rPr>
          <w:lang w:val="sv-SE"/>
        </w:rPr>
      </w:pPr>
      <w:r w:rsidRPr="006225CA">
        <w:rPr>
          <w:lang w:val="sv-SE"/>
        </w:rPr>
        <w:t>verkligt samarbete eller omfattande spridning av resultat 40 %</w:t>
      </w:r>
    </w:p>
    <w:p w14:paraId="38959F7E" w14:textId="77777777" w:rsidR="00EA7AEF" w:rsidRPr="006225CA" w:rsidRDefault="003C1DDF" w:rsidP="0012252C">
      <w:pPr>
        <w:pStyle w:val="Viiva1"/>
        <w:numPr>
          <w:ilvl w:val="0"/>
          <w:numId w:val="31"/>
        </w:numPr>
        <w:rPr>
          <w:lang w:val="sv-SE"/>
        </w:rPr>
      </w:pPr>
      <w:r w:rsidRPr="006225CA">
        <w:rPr>
          <w:lang w:val="sv-SE"/>
        </w:rPr>
        <w:lastRenderedPageBreak/>
        <w:t>verkligt samarbete eller spridning av resultat i små företags projekt 60 %</w:t>
      </w:r>
    </w:p>
    <w:p w14:paraId="2EDD0F22" w14:textId="194CCBE9" w:rsidR="00EA7AEF" w:rsidRPr="006225CA" w:rsidRDefault="003C1DDF" w:rsidP="0012252C">
      <w:pPr>
        <w:pStyle w:val="Viiva1"/>
        <w:numPr>
          <w:ilvl w:val="0"/>
          <w:numId w:val="31"/>
        </w:numPr>
        <w:rPr>
          <w:lang w:val="sv-SE"/>
        </w:rPr>
      </w:pPr>
      <w:r w:rsidRPr="006225CA">
        <w:rPr>
          <w:lang w:val="sv-SE"/>
        </w:rPr>
        <w:t>verkligt samarbete eller omfattande spridning av resultat i medelstora företags projekt 50 %</w:t>
      </w:r>
    </w:p>
    <w:p w14:paraId="323771E0" w14:textId="77777777" w:rsidR="00F76747" w:rsidRPr="006225CA" w:rsidRDefault="00F76747" w:rsidP="00F76747">
      <w:pPr>
        <w:pStyle w:val="Sis1"/>
        <w:rPr>
          <w:lang w:val="sv-SE"/>
        </w:rPr>
      </w:pPr>
    </w:p>
    <w:p w14:paraId="52FA608A" w14:textId="77777777" w:rsidR="003C1DDF" w:rsidRPr="006225CA" w:rsidRDefault="003C1DDF" w:rsidP="00F76747">
      <w:pPr>
        <w:pStyle w:val="Sis1"/>
        <w:rPr>
          <w:lang w:val="sv-SE"/>
        </w:rPr>
      </w:pPr>
      <w:r w:rsidRPr="006225CA">
        <w:rPr>
          <w:lang w:val="sv-SE"/>
        </w:rPr>
        <w:t xml:space="preserve">Till projektformerna industriell forskning och experimentell utveckling hör verkligt samarbete om </w:t>
      </w:r>
    </w:p>
    <w:p w14:paraId="6A566D11" w14:textId="77777777" w:rsidR="003C1DDF" w:rsidRPr="006225CA" w:rsidRDefault="003C1DDF" w:rsidP="0012252C">
      <w:pPr>
        <w:pStyle w:val="Viiva1"/>
        <w:numPr>
          <w:ilvl w:val="0"/>
          <w:numId w:val="30"/>
        </w:numPr>
        <w:rPr>
          <w:lang w:val="sv-SE"/>
        </w:rPr>
      </w:pPr>
      <w:r w:rsidRPr="006225CA">
        <w:rPr>
          <w:lang w:val="sv-SE"/>
        </w:rPr>
        <w:t>samarbetet utförs mellan företag av vilka minst ett är ett litet eller medelstort företag och inget enskilt företag ansvarar för mer än 70 % av de stödberättigade kostnaderna, eller</w:t>
      </w:r>
    </w:p>
    <w:p w14:paraId="7D305993" w14:textId="77777777" w:rsidR="00F76747" w:rsidRPr="006225CA" w:rsidRDefault="003C1DDF" w:rsidP="0012252C">
      <w:pPr>
        <w:pStyle w:val="Viiva1"/>
        <w:numPr>
          <w:ilvl w:val="0"/>
          <w:numId w:val="30"/>
        </w:numPr>
        <w:rPr>
          <w:lang w:val="sv-SE"/>
        </w:rPr>
      </w:pPr>
      <w:r w:rsidRPr="006225CA">
        <w:rPr>
          <w:lang w:val="sv-SE"/>
        </w:rPr>
        <w:t>mellan ett företag och en eller flera organisationer för forskning och informationsspridning, så att de senare svarar för minst 10 % av de stödberättigande kostnaderna och har rätt att offentliggöra sina egna forskningsresultat.</w:t>
      </w:r>
    </w:p>
    <w:p w14:paraId="0EF6E806" w14:textId="77777777" w:rsidR="00F76747" w:rsidRPr="006225CA" w:rsidRDefault="00F76747" w:rsidP="00F76747">
      <w:pPr>
        <w:pStyle w:val="Sis1"/>
        <w:rPr>
          <w:lang w:val="sv-SE"/>
        </w:rPr>
      </w:pPr>
    </w:p>
    <w:p w14:paraId="58EA24F1" w14:textId="42E965E5" w:rsidR="003C1DDF" w:rsidRPr="006225CA" w:rsidRDefault="003C1DDF" w:rsidP="00F76747">
      <w:pPr>
        <w:pStyle w:val="Sis1"/>
        <w:rPr>
          <w:lang w:val="sv-SE"/>
        </w:rPr>
      </w:pPr>
      <w:r w:rsidRPr="006225CA">
        <w:rPr>
          <w:lang w:val="sv-SE"/>
        </w:rPr>
        <w:t>Resultaten sprids omfattande om de sprids på konferenser, i publikationer, i öppna dataarkiv eller via programvara med fri eller öppen källkod.</w:t>
      </w:r>
    </w:p>
    <w:p w14:paraId="29981941" w14:textId="77777777" w:rsidR="003C1DDF" w:rsidRPr="006225CA" w:rsidRDefault="003C1DDF" w:rsidP="00F76747">
      <w:pPr>
        <w:pStyle w:val="Otsikko3"/>
        <w:rPr>
          <w:lang w:val="sv-SE"/>
        </w:rPr>
      </w:pPr>
      <w:r w:rsidRPr="006225CA">
        <w:rPr>
          <w:lang w:val="sv-SE"/>
        </w:rPr>
        <w:t>Projekttyp: Genomförbarhetsundersökning</w:t>
      </w:r>
    </w:p>
    <w:p w14:paraId="4B0D9513" w14:textId="4B3B8E7E" w:rsidR="003C1DDF" w:rsidRPr="006225CA" w:rsidRDefault="003C1DDF" w:rsidP="00EA7AEF">
      <w:pPr>
        <w:pStyle w:val="Sis1"/>
        <w:rPr>
          <w:lang w:val="sv-SE"/>
        </w:rPr>
      </w:pPr>
      <w:r w:rsidRPr="006225CA">
        <w:rPr>
          <w:lang w:val="sv-SE"/>
        </w:rPr>
        <w:t>Med genomförbarhetsundersökning avses bedömning och analys av projektets potential, vars mål är att stöda beslutsprocessen genom att objektivt och rationellt lyfta fram projektets styrkor och svagheter samt möjligheter och hot samt genom att specificera de resurser som krävs för att genomföra projektet och möjligheterna att lyckas med det.</w:t>
      </w:r>
    </w:p>
    <w:p w14:paraId="46D65103" w14:textId="77777777" w:rsidR="00F76747" w:rsidRPr="006225CA" w:rsidRDefault="00F76747" w:rsidP="00EA7AEF">
      <w:pPr>
        <w:pStyle w:val="Sis1"/>
        <w:rPr>
          <w:lang w:val="sv-SE"/>
        </w:rPr>
      </w:pPr>
    </w:p>
    <w:p w14:paraId="631CD829" w14:textId="77777777" w:rsidR="003C1DDF" w:rsidRPr="006225CA" w:rsidRDefault="003C1DDF" w:rsidP="00EA7AEF">
      <w:pPr>
        <w:pStyle w:val="Sis1"/>
        <w:rPr>
          <w:lang w:val="sv-SE"/>
        </w:rPr>
      </w:pPr>
      <w:r w:rsidRPr="006225CA">
        <w:rPr>
          <w:lang w:val="sv-SE"/>
        </w:rPr>
        <w:t>Stödprocent:</w:t>
      </w:r>
    </w:p>
    <w:p w14:paraId="649D8A10" w14:textId="77777777" w:rsidR="003C1DDF" w:rsidRPr="006225CA" w:rsidRDefault="003C1DDF" w:rsidP="0012252C">
      <w:pPr>
        <w:pStyle w:val="Viiva1"/>
        <w:numPr>
          <w:ilvl w:val="0"/>
          <w:numId w:val="29"/>
        </w:numPr>
        <w:rPr>
          <w:lang w:val="sv-SE"/>
        </w:rPr>
      </w:pPr>
      <w:r w:rsidRPr="006225CA">
        <w:rPr>
          <w:lang w:val="sv-SE"/>
        </w:rPr>
        <w:t>medelstora företag 60 %</w:t>
      </w:r>
    </w:p>
    <w:p w14:paraId="3C0FD1AA" w14:textId="29AD5253" w:rsidR="00F76747" w:rsidRPr="006225CA" w:rsidRDefault="003C1DDF" w:rsidP="0012252C">
      <w:pPr>
        <w:pStyle w:val="Viiva1"/>
        <w:numPr>
          <w:ilvl w:val="0"/>
          <w:numId w:val="29"/>
        </w:numPr>
        <w:rPr>
          <w:lang w:val="sv-SE"/>
        </w:rPr>
      </w:pPr>
      <w:r w:rsidRPr="006225CA">
        <w:rPr>
          <w:lang w:val="sv-SE"/>
        </w:rPr>
        <w:t>små företag 70 %</w:t>
      </w:r>
    </w:p>
    <w:p w14:paraId="7B5A4A45" w14:textId="77777777" w:rsidR="003C1DDF" w:rsidRPr="006225CA" w:rsidRDefault="003C1DDF" w:rsidP="00F76747">
      <w:pPr>
        <w:pStyle w:val="Otsikko2"/>
        <w:rPr>
          <w:lang w:val="sv-SE"/>
        </w:rPr>
      </w:pPr>
      <w:r w:rsidRPr="006225CA">
        <w:rPr>
          <w:lang w:val="sv-SE"/>
        </w:rPr>
        <w:t>2. Investeringsstödet för forskningsinfrastrukturer kan vara högst 50 %</w:t>
      </w:r>
    </w:p>
    <w:p w14:paraId="51E04196" w14:textId="77777777" w:rsidR="003C1DDF" w:rsidRPr="006225CA" w:rsidRDefault="003C1DDF" w:rsidP="00EA7AEF">
      <w:pPr>
        <w:pStyle w:val="Sis1"/>
        <w:rPr>
          <w:lang w:val="sv-SE"/>
        </w:rPr>
      </w:pPr>
      <w:r w:rsidRPr="006225CA">
        <w:rPr>
          <w:lang w:val="sv-SE"/>
        </w:rPr>
        <w:t>Med forskningsinfrastruktur avses utrustning, resurser och relaterade tjänster som används av vetenskapssamfundet för att bedriva forskning inom olika områden och som omfattar vetenskaplig utrustning eller utrustningshelheter, kunskapsbaserade resurser såsom samlingar, arkiv, strukturerad vetenskaplig information, infrastrukturer som bygger på informations- och kommunikationsteknik, såsom grid-nät, databehandlingsutrustning, programvara och kommunikationsmedel eller andra redskap av unik karaktär som behövs för forskningen. Sådana forskningsinfrastrukturer kan vara belägna på en plats eller utspridda.</w:t>
      </w:r>
    </w:p>
    <w:p w14:paraId="2340EF89" w14:textId="77777777" w:rsidR="003C1DDF" w:rsidRPr="006225CA" w:rsidRDefault="003C1DDF" w:rsidP="00F76747">
      <w:pPr>
        <w:pStyle w:val="Otsikko2"/>
        <w:rPr>
          <w:lang w:val="sv-SE"/>
        </w:rPr>
      </w:pPr>
      <w:r w:rsidRPr="006225CA">
        <w:rPr>
          <w:lang w:val="sv-SE"/>
        </w:rPr>
        <w:t>3. Stödet till innovationsklustren kan uppgå till högst 50 %</w:t>
      </w:r>
    </w:p>
    <w:p w14:paraId="0D321EA8" w14:textId="77777777" w:rsidR="003C1DDF" w:rsidRPr="006225CA" w:rsidRDefault="003C1DDF" w:rsidP="00EA7AEF">
      <w:pPr>
        <w:pStyle w:val="Sis1"/>
        <w:rPr>
          <w:lang w:val="sv-SE"/>
        </w:rPr>
      </w:pPr>
      <w:r w:rsidRPr="006225CA">
        <w:rPr>
          <w:lang w:val="sv-SE"/>
        </w:rPr>
        <w:t>Med innovationskluster avses strukturer eller organiserade grupperingar av oberoende parter, såsom innovativa nya företag, små, medelstora och stora företag samt forsknings- och informationsspridningsorganisationer, icke-vinstdrivande organisationer och andra ekonomiska aktörer, vars syfte är att öka innovationsverksamheten genom promotionsåtgärder, samutnyttjande av infrastruktur och utbyte av kompetens och expertis samt genom att effektivt delta i kompetensöverföring, nätverkande, spridning av information och samarbete mellan de företag och andra organisationer som hör till klustret.</w:t>
      </w:r>
    </w:p>
    <w:p w14:paraId="56CEDC3C" w14:textId="77777777" w:rsidR="003C1DDF" w:rsidRPr="006225CA" w:rsidRDefault="003C1DDF" w:rsidP="00F76747">
      <w:pPr>
        <w:pStyle w:val="Otsikko2"/>
        <w:rPr>
          <w:lang w:val="sv-SE"/>
        </w:rPr>
      </w:pPr>
      <w:r w:rsidRPr="006225CA">
        <w:rPr>
          <w:lang w:val="sv-SE"/>
        </w:rPr>
        <w:t>4) Innovationsstödet till små och medelstora företag kan uppgå till högst 50 %</w:t>
      </w:r>
    </w:p>
    <w:p w14:paraId="58E3D565" w14:textId="77777777" w:rsidR="003C1DDF" w:rsidRPr="006225CA" w:rsidRDefault="003C1DDF" w:rsidP="00EA7AEF">
      <w:pPr>
        <w:pStyle w:val="Sis1"/>
        <w:rPr>
          <w:lang w:val="sv-SE"/>
        </w:rPr>
      </w:pPr>
      <w:r w:rsidRPr="006225CA">
        <w:rPr>
          <w:lang w:val="sv-SE"/>
        </w:rPr>
        <w:t xml:space="preserve">Stödet kan utnyttjas till exempel för att skaffa och sätta i kraft patent och andra immateriella tillgångsposter, för rådgivningstjänster för innovationsverksamhet samt för kostnader i anslutning till tillfällig överföring av högt utbildad personal från ett </w:t>
      </w:r>
      <w:r w:rsidRPr="006225CA">
        <w:rPr>
          <w:lang w:val="sv-SE"/>
        </w:rPr>
        <w:lastRenderedPageBreak/>
        <w:t>forskningsinstitut eller ett stort företag, när personal anställs för en ny forsknings-, utvecklings- och innovationsuppgift.</w:t>
      </w:r>
    </w:p>
    <w:p w14:paraId="377E573D" w14:textId="77777777" w:rsidR="003C1DDF" w:rsidRPr="006225CA" w:rsidRDefault="003C1DDF" w:rsidP="00F76747">
      <w:pPr>
        <w:pStyle w:val="Otsikko2"/>
        <w:rPr>
          <w:lang w:val="sv-SE"/>
        </w:rPr>
      </w:pPr>
      <w:r w:rsidRPr="006225CA">
        <w:rPr>
          <w:lang w:val="sv-SE"/>
        </w:rPr>
        <w:t>5) Stödet som beviljas för process- eller organisationsrelaterad innovationsverksamhet kan uppgå till högst 50 %</w:t>
      </w:r>
    </w:p>
    <w:p w14:paraId="04E586F2" w14:textId="793C02C2" w:rsidR="003C1DDF" w:rsidRPr="006225CA" w:rsidRDefault="003C1DDF" w:rsidP="00EA7AEF">
      <w:pPr>
        <w:pStyle w:val="Sis1"/>
        <w:rPr>
          <w:lang w:val="sv-SE"/>
        </w:rPr>
      </w:pPr>
      <w:r w:rsidRPr="006225CA">
        <w:rPr>
          <w:lang w:val="sv-SE"/>
        </w:rPr>
        <w:t>Med organisationsrelaterad innovationsverksamhet avses genomförande av en ny organisatorisk metod.</w:t>
      </w:r>
    </w:p>
    <w:p w14:paraId="0E42BDB2" w14:textId="77777777" w:rsidR="00F76747" w:rsidRPr="006225CA" w:rsidRDefault="00F76747" w:rsidP="00EA7AEF">
      <w:pPr>
        <w:pStyle w:val="Sis1"/>
        <w:rPr>
          <w:lang w:val="sv-SE"/>
        </w:rPr>
      </w:pPr>
    </w:p>
    <w:p w14:paraId="7476A5D6" w14:textId="31741AD3" w:rsidR="003C1DDF" w:rsidRPr="006225CA" w:rsidRDefault="003C1DDF" w:rsidP="00EA7AEF">
      <w:pPr>
        <w:pStyle w:val="Sis1"/>
        <w:rPr>
          <w:lang w:val="sv-SE"/>
        </w:rPr>
      </w:pPr>
      <w:r w:rsidRPr="006225CA">
        <w:rPr>
          <w:lang w:val="sv-SE"/>
        </w:rPr>
        <w:t>I företagets affärsmetoder, arbetsplatsorganisation eller externa relationer, med undantag för förändringar som grundar sig på de organisatoriska metoder som redan använts i företaget, förändringar i företagsledningsstrategin, företagssammanslutningar och företagsköp, upphörande av användning av en process, efterfinansiering eller kapitalökning, förändringar som enbart beror på prisförändringar hos produktionsfaktorer, kundanpassning av produktionen, lokalisering, regelbundna säsongsvisa och andra periodiska förändringar samt handel med nya eller avsevärt förbättrade produkter.</w:t>
      </w:r>
    </w:p>
    <w:p w14:paraId="4E35DD3B" w14:textId="77777777" w:rsidR="00F76747" w:rsidRPr="006225CA" w:rsidRDefault="00F76747" w:rsidP="00EA7AEF">
      <w:pPr>
        <w:pStyle w:val="Sis1"/>
        <w:rPr>
          <w:lang w:val="sv-SE"/>
        </w:rPr>
      </w:pPr>
    </w:p>
    <w:p w14:paraId="06C4FE3A" w14:textId="0374EC57" w:rsidR="003C1DDF" w:rsidRPr="006225CA" w:rsidRDefault="003C1DDF" w:rsidP="00EA7AEF">
      <w:pPr>
        <w:pStyle w:val="Sis1"/>
        <w:rPr>
          <w:lang w:val="sv-SE"/>
        </w:rPr>
      </w:pPr>
      <w:r w:rsidRPr="006225CA">
        <w:rPr>
          <w:lang w:val="sv-SE"/>
        </w:rPr>
        <w:t>Med processrelaterad innovationsverksamhet avses genomförande av en ny eller avsevärt förbättrad produktions- eller distributionsmetod (inklusive betydande ändringar av teknisk prestanda, utrustning eller programvara); denna omfattar inte små förändringar eller förbättringar, ökning av produktions- eller servicekapaciteten genom införande av tillverknings- eller logistiksystem som är mycket lika dem som redan används, avslutande av användning av process, efterfinansiering eller ökning av kapitalet, ändringar som enbart beror på förändringar i priset för produktionsfaktorer, kundanpassning av produktionen, lokalisering, regelbundna säsongsvisa eller andra periodiska förändringar samt handel med nya eller avsevärt förbättrade produkter.</w:t>
      </w:r>
    </w:p>
    <w:p w14:paraId="379B7928" w14:textId="77777777" w:rsidR="00F76747" w:rsidRPr="006225CA" w:rsidRDefault="00F76747" w:rsidP="00EA7AEF">
      <w:pPr>
        <w:pStyle w:val="Sis1"/>
        <w:rPr>
          <w:lang w:val="sv-SE"/>
        </w:rPr>
      </w:pPr>
    </w:p>
    <w:p w14:paraId="4E59B7BC" w14:textId="77777777" w:rsidR="003C1DDF" w:rsidRPr="006225CA" w:rsidRDefault="003C1DDF" w:rsidP="00EA7AEF">
      <w:pPr>
        <w:pStyle w:val="Sis1"/>
        <w:rPr>
          <w:lang w:val="sv-SE"/>
        </w:rPr>
      </w:pPr>
      <w:r w:rsidRPr="006225CA">
        <w:rPr>
          <w:lang w:val="sv-SE"/>
        </w:rPr>
        <w:t>Stödprocent:</w:t>
      </w:r>
    </w:p>
    <w:p w14:paraId="62EA77C5" w14:textId="77777777" w:rsidR="003C1DDF" w:rsidRPr="006225CA" w:rsidRDefault="003C1DDF" w:rsidP="0012252C">
      <w:pPr>
        <w:pStyle w:val="Viiva1"/>
        <w:numPr>
          <w:ilvl w:val="0"/>
          <w:numId w:val="32"/>
        </w:numPr>
        <w:rPr>
          <w:lang w:val="sv-SE"/>
        </w:rPr>
      </w:pPr>
      <w:r w:rsidRPr="006225CA">
        <w:rPr>
          <w:lang w:val="sv-SE"/>
        </w:rPr>
        <w:t>små och medelstora företag 50 %</w:t>
      </w:r>
    </w:p>
    <w:p w14:paraId="740F23FF" w14:textId="22993204" w:rsidR="00BB6A7C" w:rsidRPr="006225CA" w:rsidRDefault="003C1DDF" w:rsidP="0012252C">
      <w:pPr>
        <w:pStyle w:val="Viiva1"/>
        <w:numPr>
          <w:ilvl w:val="0"/>
          <w:numId w:val="32"/>
        </w:numPr>
        <w:rPr>
          <w:lang w:val="sv-SE"/>
        </w:rPr>
      </w:pPr>
      <w:r w:rsidRPr="006225CA">
        <w:rPr>
          <w:lang w:val="sv-SE"/>
        </w:rPr>
        <w:t>stora företag 15 %</w:t>
      </w:r>
    </w:p>
    <w:p w14:paraId="02055BA3" w14:textId="77777777" w:rsidR="00F76747" w:rsidRPr="006225CA" w:rsidRDefault="00F76747" w:rsidP="00BB6A7C">
      <w:pPr>
        <w:pStyle w:val="Viiva1"/>
        <w:numPr>
          <w:ilvl w:val="0"/>
          <w:numId w:val="0"/>
        </w:numPr>
        <w:rPr>
          <w:lang w:val="sv-SE"/>
        </w:rPr>
      </w:pPr>
    </w:p>
    <w:p w14:paraId="0D6309D9" w14:textId="77777777" w:rsidR="00F76747" w:rsidRPr="006225CA" w:rsidRDefault="00F76747">
      <w:pPr>
        <w:spacing w:after="200" w:line="276" w:lineRule="auto"/>
        <w:rPr>
          <w:lang w:val="sv-SE"/>
        </w:rPr>
      </w:pPr>
      <w:r w:rsidRPr="006225CA">
        <w:rPr>
          <w:lang w:val="sv-SE"/>
        </w:rPr>
        <w:br w:type="page"/>
      </w:r>
    </w:p>
    <w:p w14:paraId="322C38E0" w14:textId="0F8DB378" w:rsidR="003C1DDF" w:rsidRPr="006225CA" w:rsidRDefault="003C1DDF" w:rsidP="00F76747">
      <w:pPr>
        <w:pStyle w:val="Otsikko1"/>
        <w:rPr>
          <w:lang w:val="sv-SE"/>
        </w:rPr>
      </w:pPr>
      <w:r w:rsidRPr="006225CA">
        <w:rPr>
          <w:lang w:val="sv-SE"/>
        </w:rPr>
        <w:lastRenderedPageBreak/>
        <w:t>Bilaga 2: Ingen betydande olägenhet (DNSH)-principen</w:t>
      </w:r>
    </w:p>
    <w:p w14:paraId="22291018" w14:textId="33B0CF26" w:rsidR="00B32F44" w:rsidRPr="006225CA" w:rsidRDefault="00B32F44" w:rsidP="00B32F44">
      <w:pPr>
        <w:pStyle w:val="Sis1"/>
        <w:spacing w:before="120" w:after="120"/>
        <w:rPr>
          <w:lang w:val="sv-SE"/>
        </w:rPr>
      </w:pPr>
      <w:r w:rsidRPr="006225CA">
        <w:rPr>
          <w:lang w:val="sv-SE"/>
        </w:rPr>
        <w:t xml:space="preserve">Dokumentet med tekniska riktlinjer för tillämpningen av principen om ”inte orsaka betydande skada” i enlighet med förordningen om stöd för återhämtning och resiliens (2021/C 58/01) finns i sin helhet på </w:t>
      </w:r>
      <w:hyperlink r:id="rId23" w:history="1">
        <w:r w:rsidR="00707001" w:rsidRPr="008F01F3">
          <w:rPr>
            <w:rStyle w:val="Hyperlinkki"/>
            <w:lang w:val="sv-SE"/>
          </w:rPr>
          <w:t>https://commission.europa.eu/document/download/98e1c77a-64ff-40a3-b827-f21df79544c0_sv</w:t>
        </w:r>
      </w:hyperlink>
      <w:r w:rsidRPr="006225CA">
        <w:rPr>
          <w:lang w:val="sv-SE"/>
        </w:rPr>
        <w:t xml:space="preserve">. Finlands miljöcentrals (SYKE) tillämpning av principen ”inte orsaka betydande skada” (DNSH) i projekt i Finlands återhämtning- och resiliensplan presenterar ett tillvägagångssätt och ger anvisningar för DNSH-bedömning i projekt i Finlands återhämtning- och resiliensplan. Rapporten kan läsas på </w:t>
      </w:r>
      <w:hyperlink r:id="rId24" w:history="1">
        <w:r w:rsidR="00707001" w:rsidRPr="008F01F3">
          <w:rPr>
            <w:rStyle w:val="Hyperlinkki"/>
            <w:lang w:val="sv-SE"/>
          </w:rPr>
          <w:t>https://helda.helsinki.fi/handle/10138/339406?locale-attribute=sv</w:t>
        </w:r>
      </w:hyperlink>
      <w:r w:rsidRPr="006225CA">
        <w:rPr>
          <w:lang w:val="sv-SE"/>
        </w:rPr>
        <w:t>.</w:t>
      </w:r>
    </w:p>
    <w:p w14:paraId="39F90B08" w14:textId="6584A999" w:rsidR="00B32F44" w:rsidRPr="006225CA" w:rsidRDefault="00B32F44" w:rsidP="00B32F44">
      <w:pPr>
        <w:pStyle w:val="Sis1"/>
        <w:rPr>
          <w:lang w:val="sv-SE"/>
        </w:rPr>
      </w:pPr>
      <w:r w:rsidRPr="006225CA">
        <w:rPr>
          <w:lang w:val="sv-SE"/>
        </w:rPr>
        <w:t>I EU:s facilitet för återhämtning (Recovery and Resilience Facility, RRF) ställs krav på att inga åtgärder får medföra betydande miljöskador.</w:t>
      </w:r>
    </w:p>
    <w:p w14:paraId="4AB881B8" w14:textId="77777777" w:rsidR="003C1DDF" w:rsidRPr="006225CA" w:rsidRDefault="003C1DDF" w:rsidP="003C1DDF">
      <w:pPr>
        <w:pStyle w:val="Sis2"/>
        <w:rPr>
          <w:lang w:val="sv-SE"/>
        </w:rPr>
      </w:pPr>
      <w:r w:rsidRPr="006225CA">
        <w:rPr>
          <w:lang w:val="sv-SE"/>
        </w:rPr>
        <w:t xml:space="preserve"> </w:t>
      </w:r>
    </w:p>
    <w:p w14:paraId="59E50DF7" w14:textId="77777777" w:rsidR="00F76747" w:rsidRPr="006225CA" w:rsidRDefault="003C1DDF" w:rsidP="00F76747">
      <w:pPr>
        <w:pStyle w:val="Sis1"/>
        <w:rPr>
          <w:lang w:val="sv-SE"/>
        </w:rPr>
      </w:pPr>
      <w:r w:rsidRPr="006225CA">
        <w:rPr>
          <w:lang w:val="sv-SE"/>
        </w:rPr>
        <w:t>Den ekonomiska verksamheten anses medföra betydande skada:</w:t>
      </w:r>
    </w:p>
    <w:p w14:paraId="32C19A4F" w14:textId="77777777" w:rsidR="00F76747" w:rsidRPr="006225CA" w:rsidRDefault="003C1DDF" w:rsidP="00825F2D">
      <w:pPr>
        <w:pStyle w:val="Abc1"/>
        <w:rPr>
          <w:lang w:val="sv-SE"/>
        </w:rPr>
      </w:pPr>
      <w:r w:rsidRPr="006225CA">
        <w:rPr>
          <w:lang w:val="sv-SE"/>
        </w:rPr>
        <w:t>för stävjande av klimatförändringen, om verksamheten i fråga orsakar betydande växthusgasutsläpp;</w:t>
      </w:r>
    </w:p>
    <w:p w14:paraId="3D9FF5F7" w14:textId="77777777" w:rsidR="00F76747" w:rsidRPr="006225CA" w:rsidRDefault="003C1DDF" w:rsidP="00825F2D">
      <w:pPr>
        <w:pStyle w:val="Abc1"/>
        <w:rPr>
          <w:lang w:val="sv-SE"/>
        </w:rPr>
      </w:pPr>
      <w:r w:rsidRPr="006225CA">
        <w:rPr>
          <w:lang w:val="sv-SE"/>
        </w:rPr>
        <w:t>för anpassning till klimatförändringen, om verksamheten i fråga ökar den skadliga inverkan som det nuvarande klimatet och det förväntade framtida klimatet har på verksamheten eller på människor, naturen eller egendom;</w:t>
      </w:r>
    </w:p>
    <w:p w14:paraId="46790AB6" w14:textId="77777777" w:rsidR="00F76747" w:rsidRPr="006225CA" w:rsidRDefault="003C1DDF" w:rsidP="00F76747">
      <w:pPr>
        <w:pStyle w:val="Abc1"/>
        <w:rPr>
          <w:lang w:val="sv-SE"/>
        </w:rPr>
      </w:pPr>
      <w:r w:rsidRPr="006225CA">
        <w:rPr>
          <w:lang w:val="sv-SE"/>
        </w:rPr>
        <w:t>för hållbart nyttjande och skydd av vattenresurser och marina naturresurser, om verksamheten i fråga försvagar</w:t>
      </w:r>
    </w:p>
    <w:p w14:paraId="35C077F3" w14:textId="77777777" w:rsidR="00F76747" w:rsidRPr="006225CA" w:rsidRDefault="003C1DDF" w:rsidP="00F76747">
      <w:pPr>
        <w:pStyle w:val="Viiva2"/>
        <w:rPr>
          <w:lang w:val="sv-SE"/>
        </w:rPr>
      </w:pPr>
      <w:r w:rsidRPr="006225CA">
        <w:rPr>
          <w:lang w:val="sv-SE"/>
        </w:rPr>
        <w:t>vattenförekomsternas goda status eller goda ekologiska potential, inklusive ytvatten och grundvatten, eller</w:t>
      </w:r>
    </w:p>
    <w:p w14:paraId="4B968F9F" w14:textId="77777777" w:rsidR="00F76747" w:rsidRPr="006225CA" w:rsidRDefault="003C1DDF" w:rsidP="00F76747">
      <w:pPr>
        <w:pStyle w:val="Viiva2"/>
        <w:rPr>
          <w:lang w:val="sv-SE"/>
        </w:rPr>
      </w:pPr>
      <w:r w:rsidRPr="006225CA">
        <w:rPr>
          <w:lang w:val="sv-SE"/>
        </w:rPr>
        <w:t>för havsvattnens del god miljöstatus;</w:t>
      </w:r>
    </w:p>
    <w:p w14:paraId="6649537A" w14:textId="50C90A22" w:rsidR="003C1DDF" w:rsidRPr="006225CA" w:rsidRDefault="003C1DDF" w:rsidP="00F76747">
      <w:pPr>
        <w:pStyle w:val="Abc1"/>
        <w:rPr>
          <w:lang w:val="sv-SE"/>
        </w:rPr>
      </w:pPr>
      <w:r w:rsidRPr="006225CA">
        <w:rPr>
          <w:lang w:val="sv-SE"/>
        </w:rPr>
        <w:t xml:space="preserve">för den cirkulära ekonomin, inklusive förebyggande av uppkomst av avfall samt återvinning av avfall, om </w:t>
      </w:r>
    </w:p>
    <w:p w14:paraId="26144A36" w14:textId="77777777" w:rsidR="003C1DDF" w:rsidRPr="006225CA" w:rsidRDefault="003C1DDF" w:rsidP="0012252C">
      <w:pPr>
        <w:pStyle w:val="Viiva2"/>
        <w:numPr>
          <w:ilvl w:val="0"/>
          <w:numId w:val="33"/>
        </w:numPr>
        <w:rPr>
          <w:lang w:val="sv-SE"/>
        </w:rPr>
      </w:pPr>
      <w:r w:rsidRPr="006225CA">
        <w:rPr>
          <w:lang w:val="sv-SE"/>
        </w:rPr>
        <w:t>denna verksamhet orsakar avsevärd ineffektivitet vid materialanvändning eller direkt eller indirekt användning av naturresurser, eller</w:t>
      </w:r>
    </w:p>
    <w:p w14:paraId="736FB9C1" w14:textId="77777777" w:rsidR="003C1DDF" w:rsidRPr="006225CA" w:rsidRDefault="003C1DDF" w:rsidP="0012252C">
      <w:pPr>
        <w:pStyle w:val="Viiva2"/>
        <w:numPr>
          <w:ilvl w:val="0"/>
          <w:numId w:val="33"/>
        </w:numPr>
        <w:rPr>
          <w:lang w:val="sv-SE"/>
        </w:rPr>
      </w:pPr>
      <w:r w:rsidRPr="006225CA">
        <w:rPr>
          <w:lang w:val="sv-SE"/>
        </w:rPr>
        <w:t xml:space="preserve">om verksamheten i fråga avsevärt ökar uppkomsten, förbränningen eller bortskaffandet av avfall, eller </w:t>
      </w:r>
    </w:p>
    <w:p w14:paraId="69504E6B" w14:textId="77777777" w:rsidR="00F76747" w:rsidRPr="006225CA" w:rsidRDefault="003C1DDF" w:rsidP="0012252C">
      <w:pPr>
        <w:pStyle w:val="Viiva2"/>
        <w:numPr>
          <w:ilvl w:val="0"/>
          <w:numId w:val="33"/>
        </w:numPr>
        <w:rPr>
          <w:lang w:val="sv-SE"/>
        </w:rPr>
      </w:pPr>
      <w:r w:rsidRPr="006225CA">
        <w:rPr>
          <w:lang w:val="sv-SE"/>
        </w:rPr>
        <w:t>om den långvariga slutförvaringen av avfall kan orsaka betydande och långvarig skada för miljön.</w:t>
      </w:r>
    </w:p>
    <w:p w14:paraId="54B21450" w14:textId="532FBC1C" w:rsidR="003C1DDF" w:rsidRPr="006225CA" w:rsidRDefault="003C1DDF" w:rsidP="00F76747">
      <w:pPr>
        <w:pStyle w:val="Abc1"/>
        <w:rPr>
          <w:lang w:val="sv-SE"/>
        </w:rPr>
      </w:pPr>
      <w:r w:rsidRPr="006225CA">
        <w:rPr>
          <w:lang w:val="sv-SE"/>
        </w:rPr>
        <w:t xml:space="preserve">för förebyggandet och minskandet av miljöföroreningar, </w:t>
      </w:r>
    </w:p>
    <w:p w14:paraId="7FA3D6D2" w14:textId="46B56707" w:rsidR="00F76747" w:rsidRPr="006225CA" w:rsidRDefault="003C1DDF" w:rsidP="0012252C">
      <w:pPr>
        <w:pStyle w:val="Viiva2"/>
        <w:numPr>
          <w:ilvl w:val="0"/>
          <w:numId w:val="34"/>
        </w:numPr>
        <w:rPr>
          <w:lang w:val="sv-SE"/>
        </w:rPr>
      </w:pPr>
      <w:r w:rsidRPr="006225CA">
        <w:rPr>
          <w:lang w:val="sv-SE"/>
        </w:rPr>
        <w:t>om verksamheten avsevärt ökar utsläppen av föroreningar i luften, vattnet eller marken jämfört med situationen innan verksamheten inleds, eller</w:t>
      </w:r>
    </w:p>
    <w:p w14:paraId="0A99DE8C" w14:textId="7C19AA36" w:rsidR="003C1DDF" w:rsidRPr="006225CA" w:rsidRDefault="003C1DDF" w:rsidP="00F76747">
      <w:pPr>
        <w:pStyle w:val="Abc1"/>
        <w:rPr>
          <w:i/>
          <w:lang w:val="sv-SE"/>
        </w:rPr>
      </w:pPr>
      <w:r w:rsidRPr="006225CA">
        <w:rPr>
          <w:lang w:val="sv-SE"/>
        </w:rPr>
        <w:t xml:space="preserve">för skyddet och återställandet av den biologiska mångfalden och ekosystemen, om verksamheten i fråga </w:t>
      </w:r>
    </w:p>
    <w:p w14:paraId="4BFB4F9D" w14:textId="77777777" w:rsidR="003C1DDF" w:rsidRPr="006225CA" w:rsidRDefault="003C1DDF" w:rsidP="0012252C">
      <w:pPr>
        <w:pStyle w:val="Viiva2"/>
        <w:numPr>
          <w:ilvl w:val="0"/>
          <w:numId w:val="35"/>
        </w:numPr>
        <w:rPr>
          <w:lang w:val="sv-SE"/>
        </w:rPr>
      </w:pPr>
      <w:r w:rsidRPr="006225CA">
        <w:rPr>
          <w:lang w:val="sv-SE"/>
        </w:rPr>
        <w:t xml:space="preserve">avsevärt försämrar ekosystemens goda status och toleransförmåga, eller </w:t>
      </w:r>
    </w:p>
    <w:p w14:paraId="032A2111" w14:textId="77777777" w:rsidR="003C1DDF" w:rsidRPr="006225CA" w:rsidRDefault="003C1DDF" w:rsidP="0012252C">
      <w:pPr>
        <w:pStyle w:val="Viiva2"/>
        <w:numPr>
          <w:ilvl w:val="0"/>
          <w:numId w:val="35"/>
        </w:numPr>
        <w:rPr>
          <w:lang w:val="sv-SE"/>
        </w:rPr>
      </w:pPr>
      <w:r w:rsidRPr="006225CA">
        <w:rPr>
          <w:lang w:val="sv-SE"/>
        </w:rPr>
        <w:t xml:space="preserve">försämrar skyddssituationen för naturtyper och arter, inklusive naturtyper och arter som är viktiga för Europeiska unionens intressen. </w:t>
      </w:r>
    </w:p>
    <w:p w14:paraId="0243334A" w14:textId="77777777" w:rsidR="003C1DDF" w:rsidRPr="006225CA" w:rsidRDefault="003C1DDF" w:rsidP="003C1DDF">
      <w:pPr>
        <w:pStyle w:val="Sis2"/>
        <w:rPr>
          <w:lang w:val="sv-SE"/>
        </w:rPr>
      </w:pPr>
    </w:p>
    <w:p w14:paraId="67135481" w14:textId="77777777" w:rsidR="003C1DDF" w:rsidRPr="006225CA" w:rsidRDefault="003C1DDF" w:rsidP="00F76747">
      <w:pPr>
        <w:pStyle w:val="Sis1"/>
        <w:rPr>
          <w:lang w:val="sv-SE"/>
        </w:rPr>
      </w:pPr>
      <w:r w:rsidRPr="006225CA">
        <w:rPr>
          <w:lang w:val="sv-SE"/>
        </w:rPr>
        <w:t>I ansökningsskedet förutsätts att sökanden gör en självbedömning av hur principen förverkligas inom projektet. Checklistan grundar sig på följande slutledningsschema.</w:t>
      </w:r>
    </w:p>
    <w:p w14:paraId="6B9DD9A8" w14:textId="77777777" w:rsidR="003C1DDF" w:rsidRPr="006225CA" w:rsidRDefault="003C1DDF" w:rsidP="003C1DDF">
      <w:pPr>
        <w:pStyle w:val="Sis2"/>
        <w:rPr>
          <w:lang w:val="sv-SE"/>
        </w:rPr>
      </w:pPr>
    </w:p>
    <w:p w14:paraId="21B403CF" w14:textId="5043739D" w:rsidR="003C1DDF" w:rsidRPr="006225CA" w:rsidRDefault="003C1DDF" w:rsidP="00BE6469">
      <w:pPr>
        <w:pStyle w:val="Otsikko2"/>
        <w:rPr>
          <w:lang w:val="sv-SE"/>
        </w:rPr>
      </w:pPr>
      <w:r w:rsidRPr="006225CA">
        <w:rPr>
          <w:lang w:val="sv-SE"/>
        </w:rPr>
        <w:lastRenderedPageBreak/>
        <w:t>Fas 1: Granskning av sex miljömål för fastställande av vilka som kräver bedömning</w:t>
      </w:r>
    </w:p>
    <w:p w14:paraId="145B49B1" w14:textId="25BFE03F" w:rsidR="003C1DDF" w:rsidRPr="006225CA" w:rsidRDefault="003C1DDF" w:rsidP="00BE6469">
      <w:pPr>
        <w:pStyle w:val="Sis1"/>
        <w:rPr>
          <w:lang w:val="sv-SE"/>
        </w:rPr>
      </w:pPr>
      <w:r w:rsidRPr="006225CA">
        <w:rPr>
          <w:lang w:val="sv-SE"/>
        </w:rPr>
        <w:t>Sökanden ombeds först fylla i del 1 av checklistan och med hjälp av den fastställa vilka av de sex miljömålen som kräver en detaljerad bedömning av skadorna som åtgärden medför. Den preliminära allmänna bedömningen underlättar medlemsstaternas bedömningsarbete när man först utreder vilka miljömål som kräver en detaljerad konsekvensbedömning och för vilka mål det räcker med ett förenklat tillvägagångssätt.</w:t>
      </w:r>
    </w:p>
    <w:p w14:paraId="5358C93D" w14:textId="7FF21480" w:rsidR="00BE6469" w:rsidRPr="006225CA" w:rsidRDefault="003C1DDF" w:rsidP="00BE6469">
      <w:pPr>
        <w:pStyle w:val="Otsikko3"/>
        <w:rPr>
          <w:lang w:val="sv-SE"/>
        </w:rPr>
      </w:pPr>
      <w:r w:rsidRPr="006225CA">
        <w:rPr>
          <w:lang w:val="sv-SE"/>
        </w:rPr>
        <w:t>Del 1 av checklistan</w:t>
      </w:r>
    </w:p>
    <w:tbl>
      <w:tblPr>
        <w:tblStyle w:val="TaulukkoRuudukko"/>
        <w:tblW w:w="8219" w:type="dxa"/>
        <w:tblInd w:w="1273" w:type="dxa"/>
        <w:tblLook w:val="04A0" w:firstRow="1" w:lastRow="0" w:firstColumn="1" w:lastColumn="0" w:noHBand="0" w:noVBand="1"/>
      </w:tblPr>
      <w:tblGrid>
        <w:gridCol w:w="3681"/>
        <w:gridCol w:w="850"/>
        <w:gridCol w:w="851"/>
        <w:gridCol w:w="2837"/>
      </w:tblGrid>
      <w:tr w:rsidR="00BE6469" w:rsidRPr="006225CA" w14:paraId="49B1C13E" w14:textId="77777777" w:rsidTr="00BE6469">
        <w:tc>
          <w:tcPr>
            <w:tcW w:w="3681" w:type="dxa"/>
          </w:tcPr>
          <w:p w14:paraId="577C49F6" w14:textId="77777777" w:rsidR="00BE6469" w:rsidRPr="006225CA" w:rsidRDefault="00BE6469" w:rsidP="00F232E4">
            <w:pPr>
              <w:rPr>
                <w:rFonts w:cs="Arial"/>
                <w:i/>
                <w:iCs/>
                <w:lang w:val="sv-SE"/>
              </w:rPr>
            </w:pPr>
            <w:r w:rsidRPr="006225CA">
              <w:rPr>
                <w:i/>
                <w:lang w:val="sv-SE"/>
              </w:rPr>
              <w:t>Vilka av följande miljömål kräver en detaljerad bedömning av skadorna som åtgärden medför?</w:t>
            </w:r>
          </w:p>
        </w:tc>
        <w:tc>
          <w:tcPr>
            <w:tcW w:w="850" w:type="dxa"/>
          </w:tcPr>
          <w:p w14:paraId="562E3C6E" w14:textId="77777777" w:rsidR="00BE6469" w:rsidRPr="006225CA" w:rsidRDefault="00BE6469" w:rsidP="00F232E4">
            <w:pPr>
              <w:rPr>
                <w:rFonts w:cs="Arial"/>
                <w:i/>
                <w:iCs/>
                <w:lang w:val="sv-SE"/>
              </w:rPr>
            </w:pPr>
            <w:r w:rsidRPr="006225CA">
              <w:rPr>
                <w:i/>
                <w:lang w:val="sv-SE"/>
              </w:rPr>
              <w:t>Ja</w:t>
            </w:r>
          </w:p>
        </w:tc>
        <w:tc>
          <w:tcPr>
            <w:tcW w:w="851" w:type="dxa"/>
          </w:tcPr>
          <w:p w14:paraId="46D12E8A" w14:textId="77777777" w:rsidR="00BE6469" w:rsidRPr="006225CA" w:rsidRDefault="00BE6469" w:rsidP="00F232E4">
            <w:pPr>
              <w:rPr>
                <w:rFonts w:cs="Arial"/>
                <w:i/>
                <w:iCs/>
                <w:lang w:val="sv-SE"/>
              </w:rPr>
            </w:pPr>
            <w:r w:rsidRPr="006225CA">
              <w:rPr>
                <w:i/>
                <w:lang w:val="sv-SE"/>
              </w:rPr>
              <w:t>Nej</w:t>
            </w:r>
          </w:p>
        </w:tc>
        <w:tc>
          <w:tcPr>
            <w:tcW w:w="2837" w:type="dxa"/>
          </w:tcPr>
          <w:p w14:paraId="61F33128" w14:textId="77777777" w:rsidR="00BE6469" w:rsidRPr="006225CA" w:rsidRDefault="00BE6469" w:rsidP="00F232E4">
            <w:pPr>
              <w:rPr>
                <w:rFonts w:cs="Arial"/>
                <w:i/>
                <w:iCs/>
                <w:lang w:val="sv-SE"/>
              </w:rPr>
            </w:pPr>
            <w:r w:rsidRPr="006225CA">
              <w:rPr>
                <w:i/>
                <w:lang w:val="sv-SE"/>
              </w:rPr>
              <w:t>Motivering om "nej" har valts</w:t>
            </w:r>
          </w:p>
        </w:tc>
      </w:tr>
      <w:tr w:rsidR="00BE6469" w:rsidRPr="006225CA" w14:paraId="466F0B26" w14:textId="77777777" w:rsidTr="00BE6469">
        <w:tc>
          <w:tcPr>
            <w:tcW w:w="3681" w:type="dxa"/>
          </w:tcPr>
          <w:p w14:paraId="434F4F13" w14:textId="77777777" w:rsidR="00BE6469" w:rsidRPr="006225CA" w:rsidRDefault="00BE6469" w:rsidP="00F232E4">
            <w:pPr>
              <w:rPr>
                <w:rFonts w:cs="Arial"/>
                <w:lang w:val="sv-SE"/>
              </w:rPr>
            </w:pPr>
            <w:r w:rsidRPr="006225CA">
              <w:rPr>
                <w:lang w:val="sv-SE"/>
              </w:rPr>
              <w:t>Stävjande av klimatförändringen</w:t>
            </w:r>
          </w:p>
        </w:tc>
        <w:tc>
          <w:tcPr>
            <w:tcW w:w="850" w:type="dxa"/>
          </w:tcPr>
          <w:p w14:paraId="549966CA" w14:textId="77777777" w:rsidR="00BE6469" w:rsidRPr="006225CA" w:rsidRDefault="00BE6469" w:rsidP="00F232E4">
            <w:pPr>
              <w:rPr>
                <w:rFonts w:cs="Arial"/>
                <w:lang w:val="sv-SE"/>
              </w:rPr>
            </w:pPr>
          </w:p>
        </w:tc>
        <w:tc>
          <w:tcPr>
            <w:tcW w:w="851" w:type="dxa"/>
          </w:tcPr>
          <w:p w14:paraId="1C0939E3" w14:textId="77777777" w:rsidR="00BE6469" w:rsidRPr="006225CA" w:rsidRDefault="00BE6469" w:rsidP="00F232E4">
            <w:pPr>
              <w:rPr>
                <w:rFonts w:cs="Arial"/>
                <w:lang w:val="sv-SE"/>
              </w:rPr>
            </w:pPr>
          </w:p>
        </w:tc>
        <w:tc>
          <w:tcPr>
            <w:tcW w:w="2837" w:type="dxa"/>
          </w:tcPr>
          <w:p w14:paraId="28FE7F86" w14:textId="77777777" w:rsidR="00BE6469" w:rsidRPr="006225CA" w:rsidRDefault="00BE6469" w:rsidP="00F232E4">
            <w:pPr>
              <w:rPr>
                <w:rFonts w:cs="Arial"/>
                <w:lang w:val="sv-SE"/>
              </w:rPr>
            </w:pPr>
          </w:p>
        </w:tc>
      </w:tr>
      <w:tr w:rsidR="00BE6469" w:rsidRPr="006225CA" w14:paraId="467EA216" w14:textId="77777777" w:rsidTr="00BE6469">
        <w:tc>
          <w:tcPr>
            <w:tcW w:w="3681" w:type="dxa"/>
          </w:tcPr>
          <w:p w14:paraId="2D0B97FC" w14:textId="77777777" w:rsidR="00BE6469" w:rsidRPr="006225CA" w:rsidRDefault="00BE6469" w:rsidP="00F232E4">
            <w:pPr>
              <w:rPr>
                <w:rFonts w:cs="Arial"/>
                <w:lang w:val="sv-SE"/>
              </w:rPr>
            </w:pPr>
            <w:r w:rsidRPr="006225CA">
              <w:rPr>
                <w:lang w:val="sv-SE"/>
              </w:rPr>
              <w:t>Anpassning till klimatförändringen</w:t>
            </w:r>
          </w:p>
        </w:tc>
        <w:tc>
          <w:tcPr>
            <w:tcW w:w="850" w:type="dxa"/>
          </w:tcPr>
          <w:p w14:paraId="30D25698" w14:textId="77777777" w:rsidR="00BE6469" w:rsidRPr="006225CA" w:rsidRDefault="00BE6469" w:rsidP="00F232E4">
            <w:pPr>
              <w:rPr>
                <w:rFonts w:cs="Arial"/>
                <w:lang w:val="sv-SE"/>
              </w:rPr>
            </w:pPr>
          </w:p>
        </w:tc>
        <w:tc>
          <w:tcPr>
            <w:tcW w:w="851" w:type="dxa"/>
          </w:tcPr>
          <w:p w14:paraId="1050D9F7" w14:textId="77777777" w:rsidR="00BE6469" w:rsidRPr="006225CA" w:rsidRDefault="00BE6469" w:rsidP="00F232E4">
            <w:pPr>
              <w:rPr>
                <w:rFonts w:cs="Arial"/>
                <w:lang w:val="sv-SE"/>
              </w:rPr>
            </w:pPr>
          </w:p>
        </w:tc>
        <w:tc>
          <w:tcPr>
            <w:tcW w:w="2837" w:type="dxa"/>
          </w:tcPr>
          <w:p w14:paraId="08C69CEB" w14:textId="77777777" w:rsidR="00BE6469" w:rsidRPr="006225CA" w:rsidRDefault="00BE6469" w:rsidP="00F232E4">
            <w:pPr>
              <w:rPr>
                <w:rFonts w:cs="Arial"/>
                <w:lang w:val="sv-SE"/>
              </w:rPr>
            </w:pPr>
          </w:p>
        </w:tc>
      </w:tr>
      <w:tr w:rsidR="00BE6469" w:rsidRPr="006225CA" w14:paraId="2730482E" w14:textId="77777777" w:rsidTr="00BE6469">
        <w:tc>
          <w:tcPr>
            <w:tcW w:w="3681" w:type="dxa"/>
          </w:tcPr>
          <w:p w14:paraId="031D011C" w14:textId="77777777" w:rsidR="00BE6469" w:rsidRPr="006225CA" w:rsidRDefault="00BE6469" w:rsidP="00F232E4">
            <w:pPr>
              <w:rPr>
                <w:rFonts w:cs="Arial"/>
                <w:lang w:val="sv-SE"/>
              </w:rPr>
            </w:pPr>
            <w:r w:rsidRPr="006225CA">
              <w:rPr>
                <w:lang w:val="sv-SE"/>
              </w:rPr>
              <w:t>Hållbart nyttjande och skydd av vattenresurser och marina naturresurser</w:t>
            </w:r>
          </w:p>
        </w:tc>
        <w:tc>
          <w:tcPr>
            <w:tcW w:w="850" w:type="dxa"/>
          </w:tcPr>
          <w:p w14:paraId="0AC03DDB" w14:textId="77777777" w:rsidR="00BE6469" w:rsidRPr="006225CA" w:rsidRDefault="00BE6469" w:rsidP="00F232E4">
            <w:pPr>
              <w:rPr>
                <w:rFonts w:cs="Arial"/>
                <w:lang w:val="sv-SE"/>
              </w:rPr>
            </w:pPr>
          </w:p>
        </w:tc>
        <w:tc>
          <w:tcPr>
            <w:tcW w:w="851" w:type="dxa"/>
          </w:tcPr>
          <w:p w14:paraId="0C11B442" w14:textId="77777777" w:rsidR="00BE6469" w:rsidRPr="006225CA" w:rsidRDefault="00BE6469" w:rsidP="00F232E4">
            <w:pPr>
              <w:rPr>
                <w:rFonts w:cs="Arial"/>
                <w:lang w:val="sv-SE"/>
              </w:rPr>
            </w:pPr>
          </w:p>
        </w:tc>
        <w:tc>
          <w:tcPr>
            <w:tcW w:w="2837" w:type="dxa"/>
          </w:tcPr>
          <w:p w14:paraId="1E3D0D34" w14:textId="77777777" w:rsidR="00BE6469" w:rsidRPr="006225CA" w:rsidRDefault="00BE6469" w:rsidP="00F232E4">
            <w:pPr>
              <w:rPr>
                <w:rFonts w:cs="Arial"/>
                <w:lang w:val="sv-SE"/>
              </w:rPr>
            </w:pPr>
          </w:p>
        </w:tc>
      </w:tr>
      <w:tr w:rsidR="00BE6469" w:rsidRPr="006225CA" w14:paraId="4673B661" w14:textId="77777777" w:rsidTr="00BE6469">
        <w:tc>
          <w:tcPr>
            <w:tcW w:w="3681" w:type="dxa"/>
          </w:tcPr>
          <w:p w14:paraId="024DD9D1" w14:textId="77777777" w:rsidR="00BE6469" w:rsidRPr="006225CA" w:rsidRDefault="00BE6469" w:rsidP="00F232E4">
            <w:pPr>
              <w:rPr>
                <w:rFonts w:cs="Arial"/>
                <w:lang w:val="sv-SE"/>
              </w:rPr>
            </w:pPr>
            <w:r w:rsidRPr="006225CA">
              <w:rPr>
                <w:lang w:val="sv-SE"/>
              </w:rPr>
              <w:t>Cirkulär ekonomi, inklusive förebyggande och minskning av uppkomsten av avfall</w:t>
            </w:r>
          </w:p>
        </w:tc>
        <w:tc>
          <w:tcPr>
            <w:tcW w:w="850" w:type="dxa"/>
          </w:tcPr>
          <w:p w14:paraId="7FA9D6E0" w14:textId="77777777" w:rsidR="00BE6469" w:rsidRPr="006225CA" w:rsidRDefault="00BE6469" w:rsidP="00F232E4">
            <w:pPr>
              <w:rPr>
                <w:rFonts w:cs="Arial"/>
                <w:lang w:val="sv-SE"/>
              </w:rPr>
            </w:pPr>
          </w:p>
        </w:tc>
        <w:tc>
          <w:tcPr>
            <w:tcW w:w="851" w:type="dxa"/>
          </w:tcPr>
          <w:p w14:paraId="31A5592C" w14:textId="77777777" w:rsidR="00BE6469" w:rsidRPr="006225CA" w:rsidRDefault="00BE6469" w:rsidP="00F232E4">
            <w:pPr>
              <w:rPr>
                <w:rFonts w:cs="Arial"/>
                <w:lang w:val="sv-SE"/>
              </w:rPr>
            </w:pPr>
          </w:p>
        </w:tc>
        <w:tc>
          <w:tcPr>
            <w:tcW w:w="2837" w:type="dxa"/>
          </w:tcPr>
          <w:p w14:paraId="2F5AB8E3" w14:textId="77777777" w:rsidR="00BE6469" w:rsidRPr="006225CA" w:rsidRDefault="00BE6469" w:rsidP="00F232E4">
            <w:pPr>
              <w:rPr>
                <w:rFonts w:cs="Arial"/>
                <w:lang w:val="sv-SE"/>
              </w:rPr>
            </w:pPr>
          </w:p>
        </w:tc>
      </w:tr>
      <w:tr w:rsidR="00BE6469" w:rsidRPr="006225CA" w14:paraId="0FC74620" w14:textId="77777777" w:rsidTr="00BE6469">
        <w:tc>
          <w:tcPr>
            <w:tcW w:w="3681" w:type="dxa"/>
          </w:tcPr>
          <w:p w14:paraId="60287FE0" w14:textId="77777777" w:rsidR="00BE6469" w:rsidRPr="006225CA" w:rsidRDefault="00BE6469" w:rsidP="00F232E4">
            <w:pPr>
              <w:rPr>
                <w:rFonts w:cs="Arial"/>
                <w:lang w:val="sv-SE"/>
              </w:rPr>
            </w:pPr>
            <w:r w:rsidRPr="006225CA">
              <w:rPr>
                <w:lang w:val="sv-SE"/>
              </w:rPr>
              <w:t>Förebyggande och minskning av förorening av luft, vatten eller mark</w:t>
            </w:r>
          </w:p>
        </w:tc>
        <w:tc>
          <w:tcPr>
            <w:tcW w:w="850" w:type="dxa"/>
          </w:tcPr>
          <w:p w14:paraId="0CBEB003" w14:textId="77777777" w:rsidR="00BE6469" w:rsidRPr="006225CA" w:rsidRDefault="00BE6469" w:rsidP="00F232E4">
            <w:pPr>
              <w:rPr>
                <w:rFonts w:cs="Arial"/>
                <w:lang w:val="sv-SE"/>
              </w:rPr>
            </w:pPr>
          </w:p>
        </w:tc>
        <w:tc>
          <w:tcPr>
            <w:tcW w:w="851" w:type="dxa"/>
          </w:tcPr>
          <w:p w14:paraId="0A730B54" w14:textId="77777777" w:rsidR="00BE6469" w:rsidRPr="006225CA" w:rsidRDefault="00BE6469" w:rsidP="00F232E4">
            <w:pPr>
              <w:rPr>
                <w:rFonts w:cs="Arial"/>
                <w:lang w:val="sv-SE"/>
              </w:rPr>
            </w:pPr>
          </w:p>
        </w:tc>
        <w:tc>
          <w:tcPr>
            <w:tcW w:w="2837" w:type="dxa"/>
          </w:tcPr>
          <w:p w14:paraId="7A865DBE" w14:textId="77777777" w:rsidR="00BE6469" w:rsidRPr="006225CA" w:rsidRDefault="00BE6469" w:rsidP="00F232E4">
            <w:pPr>
              <w:rPr>
                <w:rFonts w:cs="Arial"/>
                <w:lang w:val="sv-SE"/>
              </w:rPr>
            </w:pPr>
          </w:p>
        </w:tc>
      </w:tr>
      <w:tr w:rsidR="00BE6469" w:rsidRPr="006225CA" w14:paraId="22D61EFD" w14:textId="77777777" w:rsidTr="00BE6469">
        <w:tc>
          <w:tcPr>
            <w:tcW w:w="3681" w:type="dxa"/>
          </w:tcPr>
          <w:p w14:paraId="6AD9F617" w14:textId="77777777" w:rsidR="00BE6469" w:rsidRPr="006225CA" w:rsidRDefault="00BE6469" w:rsidP="00F232E4">
            <w:pPr>
              <w:rPr>
                <w:rFonts w:cs="Arial"/>
                <w:lang w:val="sv-SE"/>
              </w:rPr>
            </w:pPr>
            <w:r w:rsidRPr="006225CA">
              <w:rPr>
                <w:lang w:val="sv-SE"/>
              </w:rPr>
              <w:t>Skydd och restaurering av biologisk mångfald och ekosystem</w:t>
            </w:r>
          </w:p>
        </w:tc>
        <w:tc>
          <w:tcPr>
            <w:tcW w:w="850" w:type="dxa"/>
          </w:tcPr>
          <w:p w14:paraId="46C2C099" w14:textId="77777777" w:rsidR="00BE6469" w:rsidRPr="006225CA" w:rsidRDefault="00BE6469" w:rsidP="00F232E4">
            <w:pPr>
              <w:rPr>
                <w:rFonts w:cs="Arial"/>
                <w:lang w:val="sv-SE"/>
              </w:rPr>
            </w:pPr>
          </w:p>
        </w:tc>
        <w:tc>
          <w:tcPr>
            <w:tcW w:w="851" w:type="dxa"/>
          </w:tcPr>
          <w:p w14:paraId="38638B51" w14:textId="77777777" w:rsidR="00BE6469" w:rsidRPr="006225CA" w:rsidRDefault="00BE6469" w:rsidP="00F232E4">
            <w:pPr>
              <w:rPr>
                <w:rFonts w:cs="Arial"/>
                <w:lang w:val="sv-SE"/>
              </w:rPr>
            </w:pPr>
          </w:p>
        </w:tc>
        <w:tc>
          <w:tcPr>
            <w:tcW w:w="2837" w:type="dxa"/>
          </w:tcPr>
          <w:p w14:paraId="5DE4852E" w14:textId="77777777" w:rsidR="00BE6469" w:rsidRPr="006225CA" w:rsidRDefault="00BE6469" w:rsidP="00F232E4">
            <w:pPr>
              <w:rPr>
                <w:rFonts w:cs="Arial"/>
                <w:lang w:val="sv-SE"/>
              </w:rPr>
            </w:pPr>
          </w:p>
        </w:tc>
      </w:tr>
    </w:tbl>
    <w:p w14:paraId="0509793A" w14:textId="77777777" w:rsidR="00BE6469" w:rsidRPr="006225CA" w:rsidRDefault="00BE6469" w:rsidP="00BE6469">
      <w:pPr>
        <w:pStyle w:val="Sis1"/>
        <w:rPr>
          <w:lang w:val="sv-SE"/>
        </w:rPr>
      </w:pPr>
    </w:p>
    <w:p w14:paraId="72B56342" w14:textId="77777777" w:rsidR="00BE6469" w:rsidRPr="006225CA" w:rsidRDefault="003C1DDF" w:rsidP="00BE6469">
      <w:pPr>
        <w:pStyle w:val="Sis1"/>
        <w:rPr>
          <w:lang w:val="sv-SE"/>
        </w:rPr>
      </w:pPr>
      <w:r w:rsidRPr="006225CA">
        <w:rPr>
          <w:b/>
          <w:lang w:val="sv-SE"/>
        </w:rPr>
        <w:t>Om svaret är nej</w:t>
      </w:r>
      <w:r w:rsidRPr="006225CA">
        <w:rPr>
          <w:lang w:val="sv-SE"/>
        </w:rPr>
        <w:t>, motiveras i den högra kolumnen kort varför miljömålet i fråga inte kräver en detaljerad bedömning av skadorna som åtgärden medför. I motiveringen ska nämnas vilket av följande fall den grundar sig på:</w:t>
      </w:r>
    </w:p>
    <w:p w14:paraId="2AB0BBBC" w14:textId="77777777" w:rsidR="00BE6469" w:rsidRPr="006225CA" w:rsidRDefault="003C1DDF" w:rsidP="0012252C">
      <w:pPr>
        <w:pStyle w:val="Abc1"/>
        <w:numPr>
          <w:ilvl w:val="0"/>
          <w:numId w:val="36"/>
        </w:numPr>
        <w:rPr>
          <w:lang w:val="sv-SE"/>
        </w:rPr>
      </w:pPr>
      <w:r w:rsidRPr="006225CA">
        <w:rPr>
          <w:lang w:val="sv-SE"/>
        </w:rPr>
        <w:t>Åtgärden har inte någon förutsebar inverkan på detta miljömål eller är obetydlig med hänsyn till åtgärdens art och dess direkta och primära indirekta effekter under dess livscykel, varvid den anses vara förenlig med principen "ingen betydande skada" i fråga om detta mål,</w:t>
      </w:r>
    </w:p>
    <w:p w14:paraId="1B5A7884" w14:textId="78CE2C14" w:rsidR="00BE6469" w:rsidRPr="006225CA" w:rsidRDefault="003C1DDF" w:rsidP="0012252C">
      <w:pPr>
        <w:pStyle w:val="Abc1"/>
        <w:numPr>
          <w:ilvl w:val="0"/>
          <w:numId w:val="36"/>
        </w:numPr>
        <w:rPr>
          <w:lang w:val="sv-SE"/>
        </w:rPr>
      </w:pPr>
      <w:r w:rsidRPr="006225CA">
        <w:rPr>
          <w:lang w:val="sv-SE"/>
        </w:rPr>
        <w:t>Åtgärder ”främjar avsevärt” ett miljömål på det sätt som avses i klassificeringssystemförordningen och anses därför vara förenlig med principen ”ingen betydande skada” i fråga om detta mål.</w:t>
      </w:r>
    </w:p>
    <w:p w14:paraId="2A47D5A5" w14:textId="77777777" w:rsidR="00BE6469" w:rsidRPr="006225CA" w:rsidRDefault="00BE6469" w:rsidP="00BE6469">
      <w:pPr>
        <w:pStyle w:val="Sis1"/>
        <w:rPr>
          <w:b/>
          <w:bCs/>
          <w:lang w:val="sv-SE"/>
        </w:rPr>
      </w:pPr>
    </w:p>
    <w:p w14:paraId="3BE50643" w14:textId="4D0A96CB" w:rsidR="00BE6469" w:rsidRPr="006225CA" w:rsidRDefault="003C1DDF" w:rsidP="00BE6469">
      <w:pPr>
        <w:pStyle w:val="Sis1"/>
        <w:rPr>
          <w:lang w:val="sv-SE"/>
        </w:rPr>
      </w:pPr>
      <w:r w:rsidRPr="006225CA">
        <w:rPr>
          <w:b/>
          <w:lang w:val="sv-SE"/>
        </w:rPr>
        <w:t>Om svaret är ja</w:t>
      </w:r>
      <w:r w:rsidRPr="006225CA">
        <w:rPr>
          <w:lang w:val="sv-SE"/>
        </w:rPr>
        <w:t>, ska en detaljerad bedömning av de aktuella miljömålen göras (fas 2).</w:t>
      </w:r>
    </w:p>
    <w:p w14:paraId="40DEE1B3" w14:textId="77777777" w:rsidR="003C1DDF" w:rsidRPr="006225CA" w:rsidRDefault="003C1DDF" w:rsidP="00BE6469">
      <w:pPr>
        <w:pStyle w:val="Otsikko2"/>
        <w:rPr>
          <w:lang w:val="sv-SE"/>
        </w:rPr>
      </w:pPr>
      <w:r w:rsidRPr="006225CA">
        <w:rPr>
          <w:lang w:val="sv-SE"/>
        </w:rPr>
        <w:t>Fas 2: En detaljerad bedömning av de miljömål som kräver det</w:t>
      </w:r>
    </w:p>
    <w:p w14:paraId="384C2386" w14:textId="3963C93D" w:rsidR="00853748" w:rsidRPr="006225CA" w:rsidRDefault="003C1DDF" w:rsidP="00BE6469">
      <w:pPr>
        <w:pStyle w:val="Sis1"/>
        <w:rPr>
          <w:lang w:val="sv-SE"/>
        </w:rPr>
      </w:pPr>
      <w:r w:rsidRPr="006225CA">
        <w:rPr>
          <w:lang w:val="sv-SE"/>
        </w:rPr>
        <w:t>I den andra fasen uppmanas sökanden att använda del 2 av checklistan för att för varje åtgärd i återhämtnings- och resiliensplanen göra en detaljerad bedömning av skadorna för de miljömål för vilka ”ja” har valts i fas 1. I del 2 av checklistan finns en sammanställning av frågor som motsvarar de rättsliga kraven för alla sex miljömål. Åtgärderna i planen ska vara förenliga med principen ”ingen betydande skada”. Alla frågor som tas upp i del 2 av checklistan måste därför besvaras med ett "nej" som bevis på att åtgärden inte medför någon betydande skada för miljömålet i fråga.</w:t>
      </w:r>
    </w:p>
    <w:p w14:paraId="442BF909" w14:textId="77777777" w:rsidR="00853748" w:rsidRPr="006225CA" w:rsidRDefault="00853748">
      <w:pPr>
        <w:spacing w:after="200" w:line="276" w:lineRule="auto"/>
        <w:rPr>
          <w:lang w:val="sv-SE"/>
        </w:rPr>
      </w:pPr>
      <w:r w:rsidRPr="006225CA">
        <w:rPr>
          <w:lang w:val="sv-SE"/>
        </w:rPr>
        <w:br w:type="page"/>
      </w:r>
    </w:p>
    <w:p w14:paraId="5BFBAE0F" w14:textId="7E973338" w:rsidR="003C1DDF" w:rsidRPr="006225CA" w:rsidRDefault="003C1DDF" w:rsidP="00BE6469">
      <w:pPr>
        <w:pStyle w:val="Otsikko3"/>
        <w:rPr>
          <w:lang w:val="sv-SE"/>
        </w:rPr>
      </w:pPr>
      <w:r w:rsidRPr="006225CA">
        <w:rPr>
          <w:lang w:val="sv-SE"/>
        </w:rPr>
        <w:lastRenderedPageBreak/>
        <w:t>Del 2 av checklistan – Som exempel miljömålet ”stävjande av klimatförändringen”</w:t>
      </w:r>
    </w:p>
    <w:tbl>
      <w:tblPr>
        <w:tblStyle w:val="TaulukkoRuudukko"/>
        <w:tblW w:w="0" w:type="auto"/>
        <w:tblInd w:w="1287" w:type="dxa"/>
        <w:tblLook w:val="04A0" w:firstRow="1" w:lastRow="0" w:firstColumn="1" w:lastColumn="0" w:noHBand="0" w:noVBand="1"/>
      </w:tblPr>
      <w:tblGrid>
        <w:gridCol w:w="3964"/>
        <w:gridCol w:w="711"/>
        <w:gridCol w:w="3544"/>
      </w:tblGrid>
      <w:tr w:rsidR="00BE6469" w:rsidRPr="006225CA" w14:paraId="73A32816" w14:textId="77777777" w:rsidTr="00BE6469">
        <w:tc>
          <w:tcPr>
            <w:tcW w:w="3964" w:type="dxa"/>
          </w:tcPr>
          <w:p w14:paraId="2ED5A5C9" w14:textId="77777777" w:rsidR="00BE6469" w:rsidRPr="006225CA" w:rsidRDefault="00BE6469" w:rsidP="00F232E4">
            <w:pPr>
              <w:rPr>
                <w:rFonts w:cs="Arial"/>
                <w:i/>
                <w:iCs/>
                <w:lang w:val="sv-SE"/>
              </w:rPr>
            </w:pPr>
            <w:r w:rsidRPr="006225CA">
              <w:rPr>
                <w:i/>
                <w:lang w:val="sv-SE"/>
              </w:rPr>
              <w:t>Frågor</w:t>
            </w:r>
          </w:p>
        </w:tc>
        <w:tc>
          <w:tcPr>
            <w:tcW w:w="711" w:type="dxa"/>
          </w:tcPr>
          <w:p w14:paraId="5545E1FD" w14:textId="77777777" w:rsidR="00BE6469" w:rsidRPr="006225CA" w:rsidRDefault="00BE6469" w:rsidP="00F232E4">
            <w:pPr>
              <w:rPr>
                <w:rFonts w:cs="Arial"/>
                <w:i/>
                <w:iCs/>
                <w:lang w:val="sv-SE"/>
              </w:rPr>
            </w:pPr>
            <w:r w:rsidRPr="006225CA">
              <w:rPr>
                <w:i/>
                <w:lang w:val="sv-SE"/>
              </w:rPr>
              <w:t>Nej</w:t>
            </w:r>
          </w:p>
        </w:tc>
        <w:tc>
          <w:tcPr>
            <w:tcW w:w="3544" w:type="dxa"/>
          </w:tcPr>
          <w:p w14:paraId="74FB9C2C" w14:textId="77777777" w:rsidR="00BE6469" w:rsidRPr="006225CA" w:rsidRDefault="00BE6469" w:rsidP="00F232E4">
            <w:pPr>
              <w:rPr>
                <w:rFonts w:cs="Arial"/>
                <w:i/>
                <w:iCs/>
                <w:lang w:val="sv-SE"/>
              </w:rPr>
            </w:pPr>
            <w:r w:rsidRPr="006225CA">
              <w:rPr>
                <w:i/>
                <w:lang w:val="sv-SE"/>
              </w:rPr>
              <w:t>Detaljmotivering</w:t>
            </w:r>
          </w:p>
        </w:tc>
      </w:tr>
      <w:tr w:rsidR="00BE6469" w:rsidRPr="006225CA" w14:paraId="0FB9388E" w14:textId="77777777" w:rsidTr="00BE6469">
        <w:tc>
          <w:tcPr>
            <w:tcW w:w="3964" w:type="dxa"/>
          </w:tcPr>
          <w:p w14:paraId="5545C79B" w14:textId="77777777" w:rsidR="00BE6469" w:rsidRPr="006225CA" w:rsidRDefault="00BE6469" w:rsidP="00F232E4">
            <w:pPr>
              <w:rPr>
                <w:rFonts w:cs="Arial"/>
                <w:lang w:val="sv-SE"/>
              </w:rPr>
            </w:pPr>
            <w:r w:rsidRPr="006225CA">
              <w:rPr>
                <w:i/>
                <w:lang w:val="sv-SE"/>
              </w:rPr>
              <w:t>Stävjande av klimatförändringen</w:t>
            </w:r>
            <w:r w:rsidRPr="006225CA">
              <w:rPr>
                <w:lang w:val="sv-SE"/>
              </w:rPr>
              <w:br/>
              <w:t>Förväntas åtgärden leda till betydande utsläpp av växthusgaser?</w:t>
            </w:r>
          </w:p>
        </w:tc>
        <w:tc>
          <w:tcPr>
            <w:tcW w:w="711" w:type="dxa"/>
          </w:tcPr>
          <w:p w14:paraId="710769A3" w14:textId="77777777" w:rsidR="00BE6469" w:rsidRPr="006225CA" w:rsidRDefault="00BE6469" w:rsidP="00F232E4">
            <w:pPr>
              <w:rPr>
                <w:rFonts w:cs="Arial"/>
                <w:b/>
                <w:lang w:val="sv-SE"/>
              </w:rPr>
            </w:pPr>
          </w:p>
        </w:tc>
        <w:tc>
          <w:tcPr>
            <w:tcW w:w="3544" w:type="dxa"/>
          </w:tcPr>
          <w:p w14:paraId="446C745F" w14:textId="77777777" w:rsidR="00BE6469" w:rsidRPr="006225CA" w:rsidRDefault="00BE6469" w:rsidP="00F232E4">
            <w:pPr>
              <w:rPr>
                <w:rFonts w:cs="Arial"/>
                <w:b/>
                <w:lang w:val="sv-SE"/>
              </w:rPr>
            </w:pPr>
          </w:p>
        </w:tc>
      </w:tr>
    </w:tbl>
    <w:p w14:paraId="4FFBC3F2" w14:textId="77777777" w:rsidR="00BE6469" w:rsidRPr="006225CA" w:rsidRDefault="00BE6469" w:rsidP="00BE6469">
      <w:pPr>
        <w:pStyle w:val="Sis1"/>
        <w:rPr>
          <w:lang w:val="sv-SE"/>
        </w:rPr>
      </w:pPr>
    </w:p>
    <w:p w14:paraId="2ACEE871" w14:textId="77777777" w:rsidR="00BE6469" w:rsidRPr="006225CA" w:rsidRDefault="003C1DDF" w:rsidP="00BE6469">
      <w:pPr>
        <w:pStyle w:val="Sis1"/>
        <w:rPr>
          <w:lang w:val="sv-SE"/>
        </w:rPr>
      </w:pPr>
      <w:r w:rsidRPr="006225CA">
        <w:rPr>
          <w:lang w:val="sv-SE"/>
        </w:rPr>
        <w:t>Sökanden bör bekräfta att svaret är "nej" och motivera sitt svar detaljerat i den högra kolumnen.</w:t>
      </w:r>
    </w:p>
    <w:p w14:paraId="55309ABA" w14:textId="77777777" w:rsidR="00BE6469" w:rsidRPr="006225CA" w:rsidRDefault="00BE6469" w:rsidP="00BE6469">
      <w:pPr>
        <w:pStyle w:val="Sis1"/>
        <w:rPr>
          <w:lang w:val="sv-SE"/>
        </w:rPr>
      </w:pPr>
    </w:p>
    <w:p w14:paraId="7D32485F" w14:textId="77777777" w:rsidR="00BE6469" w:rsidRPr="006225CA" w:rsidRDefault="003C1DDF" w:rsidP="00BE6469">
      <w:pPr>
        <w:pStyle w:val="Sis1"/>
        <w:rPr>
          <w:lang w:val="sv-SE"/>
        </w:rPr>
      </w:pPr>
      <w:r w:rsidRPr="006225CA">
        <w:rPr>
          <w:lang w:val="sv-SE"/>
        </w:rPr>
        <w:t>Medlemsstaterna ombeds vid behov att lämna in kompletterande bedömningar och/eller målinriktade dokument i begränsad omfattning, om det är nödvändigt för att närmare motivera deras svar.</w:t>
      </w:r>
    </w:p>
    <w:p w14:paraId="21839EA5" w14:textId="77777777" w:rsidR="00BE6469" w:rsidRPr="006225CA" w:rsidRDefault="00BE6469" w:rsidP="00BE6469">
      <w:pPr>
        <w:pStyle w:val="Sis1"/>
        <w:rPr>
          <w:lang w:val="sv-SE"/>
        </w:rPr>
      </w:pPr>
    </w:p>
    <w:p w14:paraId="7A15BD00" w14:textId="77777777" w:rsidR="00BE6469" w:rsidRPr="006225CA" w:rsidRDefault="003C1DDF" w:rsidP="00BE6469">
      <w:pPr>
        <w:pStyle w:val="Sis1"/>
        <w:rPr>
          <w:lang w:val="sv-SE"/>
        </w:rPr>
      </w:pPr>
      <w:r w:rsidRPr="006225CA">
        <w:rPr>
          <w:lang w:val="sv-SE"/>
        </w:rPr>
        <w:t>Om medlemsstaterna inte kan lägga fram tillräckligt detaljerade motiveringar kan kommissionen anse att åtgärden kan medföra betydande skada för vissa av de sex miljömålen.</w:t>
      </w:r>
    </w:p>
    <w:p w14:paraId="43F86936" w14:textId="77777777" w:rsidR="00BE6469" w:rsidRPr="006225CA" w:rsidRDefault="00BE6469" w:rsidP="00BE6469">
      <w:pPr>
        <w:pStyle w:val="Sis1"/>
        <w:rPr>
          <w:lang w:val="sv-SE"/>
        </w:rPr>
      </w:pPr>
    </w:p>
    <w:p w14:paraId="0EF7A826" w14:textId="7D68F8AC" w:rsidR="00BE6469" w:rsidRPr="006225CA" w:rsidRDefault="003C1DDF" w:rsidP="00BE6469">
      <w:pPr>
        <w:pStyle w:val="Sis1"/>
        <w:rPr>
          <w:lang w:val="sv-SE"/>
        </w:rPr>
      </w:pPr>
      <w:r w:rsidRPr="006225CA">
        <w:rPr>
          <w:lang w:val="sv-SE"/>
        </w:rPr>
        <w:t xml:space="preserve">Svarsanvisningar och -exempel på DNSH-frågor finns i dokumentet 2021/C 58/01 på adressen </w:t>
      </w:r>
      <w:bookmarkStart w:id="2" w:name="_Hlk93905297"/>
      <w:r w:rsidR="00B8029F">
        <w:rPr>
          <w:lang w:val="sv-SE"/>
        </w:rPr>
        <w:fldChar w:fldCharType="begin"/>
      </w:r>
      <w:r w:rsidR="00B8029F">
        <w:rPr>
          <w:lang w:val="sv-SE"/>
        </w:rPr>
        <w:instrText>HYPERLINK "</w:instrText>
      </w:r>
      <w:r w:rsidR="00B8029F" w:rsidRPr="00B8029F">
        <w:rPr>
          <w:lang w:val="sv-SE"/>
        </w:rPr>
        <w:instrText>https://eur-lex.europa.eu/legal-content/SV/TXT/PDF/?uri=CELEX:52021XC0218(01)&amp;from=EN</w:instrText>
      </w:r>
      <w:r w:rsidR="00B8029F">
        <w:rPr>
          <w:lang w:val="sv-SE"/>
        </w:rPr>
        <w:instrText>"</w:instrText>
      </w:r>
      <w:r w:rsidR="00B8029F">
        <w:rPr>
          <w:lang w:val="sv-SE"/>
        </w:rPr>
      </w:r>
      <w:r w:rsidR="00B8029F">
        <w:rPr>
          <w:lang w:val="sv-SE"/>
        </w:rPr>
        <w:fldChar w:fldCharType="separate"/>
      </w:r>
      <w:r w:rsidR="00B8029F" w:rsidRPr="008F01F3">
        <w:rPr>
          <w:rStyle w:val="Hyperlinkki"/>
          <w:lang w:val="sv-SE"/>
        </w:rPr>
        <w:t>https://eur-lex.europa.eu/legal-content/SV/TXT/PDF/?uri=CELEX:52021XC0218(01)&amp;from=EN</w:t>
      </w:r>
      <w:r w:rsidR="00B8029F">
        <w:rPr>
          <w:lang w:val="sv-SE"/>
        </w:rPr>
        <w:fldChar w:fldCharType="end"/>
      </w:r>
      <w:r w:rsidRPr="006225CA">
        <w:rPr>
          <w:lang w:val="sv-SE"/>
        </w:rPr>
        <w:t>.</w:t>
      </w:r>
    </w:p>
    <w:bookmarkEnd w:id="2"/>
    <w:p w14:paraId="1990083B" w14:textId="77777777" w:rsidR="00BE6469" w:rsidRPr="006225CA" w:rsidRDefault="00BE6469" w:rsidP="00BE6469">
      <w:pPr>
        <w:pStyle w:val="Sis1"/>
        <w:rPr>
          <w:lang w:val="sv-SE"/>
        </w:rPr>
      </w:pPr>
    </w:p>
    <w:p w14:paraId="46A01C9B" w14:textId="3F2E458D" w:rsidR="00BB6A7C" w:rsidRPr="006225CA" w:rsidRDefault="003C1DDF" w:rsidP="00BB6A7C">
      <w:pPr>
        <w:pStyle w:val="Sis1"/>
        <w:rPr>
          <w:u w:val="single"/>
          <w:lang w:val="sv-SE"/>
        </w:rPr>
      </w:pPr>
      <w:r w:rsidRPr="006225CA">
        <w:rPr>
          <w:lang w:val="sv-SE"/>
        </w:rPr>
        <w:t xml:space="preserve">Man kan bekanta sig med omfattande DNSH-förhandsbedömningar som gjorts under beredningen av programmet för hållbar tillväxt i bilaga 3 till dokumentet för Finlands program för hållbar tillväxt på adressen </w:t>
      </w:r>
      <w:hyperlink r:id="rId25" w:tgtFrame="_blank" w:tooltip="julkaisut.valtioneuvosto.fi/handle/10024/163176" w:history="1">
        <w:r w:rsidR="00B8029F">
          <w:rPr>
            <w:rStyle w:val="Hyperlinkki"/>
            <w:lang w:val="sv-SE"/>
          </w:rPr>
          <w:t>https://j</w:t>
        </w:r>
        <w:r w:rsidRPr="006225CA">
          <w:rPr>
            <w:rStyle w:val="Hyperlinkki"/>
            <w:lang w:val="sv-SE"/>
          </w:rPr>
          <w:t>ulkaisut.valtioneuvosto.fi/handle/10024/163176</w:t>
        </w:r>
      </w:hyperlink>
      <w:r w:rsidRPr="006225CA">
        <w:rPr>
          <w:lang w:val="sv-SE"/>
        </w:rPr>
        <w:t>.</w:t>
      </w:r>
      <w:r w:rsidRPr="006225CA">
        <w:rPr>
          <w:u w:val="single"/>
          <w:lang w:val="sv-SE"/>
        </w:rPr>
        <w:br w:type="page"/>
      </w:r>
    </w:p>
    <w:p w14:paraId="16883718" w14:textId="79F4FD2A" w:rsidR="000365ED" w:rsidRPr="006225CA" w:rsidRDefault="000365ED" w:rsidP="002420B4">
      <w:pPr>
        <w:pStyle w:val="Otsikko1"/>
        <w:rPr>
          <w:lang w:val="sv-SE"/>
        </w:rPr>
      </w:pPr>
      <w:r w:rsidRPr="006225CA">
        <w:rPr>
          <w:lang w:val="sv-SE"/>
        </w:rPr>
        <w:lastRenderedPageBreak/>
        <w:t>Bilaga 3: Anvisning till dem som genomför samprojekt</w:t>
      </w:r>
    </w:p>
    <w:p w14:paraId="270F6CBE" w14:textId="303FF509" w:rsidR="000365ED" w:rsidRPr="006225CA" w:rsidRDefault="000365ED" w:rsidP="002420B4">
      <w:pPr>
        <w:pStyle w:val="Sis1"/>
        <w:rPr>
          <w:lang w:val="sv-SE"/>
        </w:rPr>
      </w:pPr>
      <w:r w:rsidRPr="006225CA">
        <w:rPr>
          <w:lang w:val="sv-SE"/>
        </w:rPr>
        <w:t>I ett gemensamt projekt beviljas två eller flera genomförare stöd gemensamt och de som får stödet ansvarar gemensamt för projektet. Alla parter i det gemensamma projektet ansöker om stöd. Alla som ansöker om stöd ska uppfylla de krav som ställs på stödmottagarna. I ett gemensamt projekt ska varje stödmottagare bidra med egen finansiering och kostnaderna för delprojektet inkluderas i projektets budget.</w:t>
      </w:r>
    </w:p>
    <w:p w14:paraId="20A837B5" w14:textId="77777777" w:rsidR="002420B4" w:rsidRPr="006225CA" w:rsidRDefault="002420B4" w:rsidP="002420B4">
      <w:pPr>
        <w:pStyle w:val="Sis1"/>
        <w:rPr>
          <w:lang w:val="sv-SE"/>
        </w:rPr>
      </w:pPr>
    </w:p>
    <w:p w14:paraId="15CB7338" w14:textId="7BCAD1E0" w:rsidR="000365ED" w:rsidRPr="006225CA" w:rsidRDefault="000365ED" w:rsidP="002420B4">
      <w:pPr>
        <w:pStyle w:val="Sis1"/>
        <w:rPr>
          <w:lang w:val="sv-SE"/>
        </w:rPr>
      </w:pPr>
      <w:r w:rsidRPr="006225CA">
        <w:rPr>
          <w:lang w:val="sv-SE"/>
        </w:rPr>
        <w:t>I ett gemensamt projekt ska de sökande, dvs. delgenomförarna, bland sig välja en huvudgenomförare som fungerar som administratör för projektet och ansvarar för kontakten med myndigheten som beviljat stödet. Projektets huvudgenomförare lämnar in en gemensam ansökningsblankett för alla genomförare inom det gemensamma projektet.</w:t>
      </w:r>
    </w:p>
    <w:p w14:paraId="438F29F4" w14:textId="77777777" w:rsidR="002420B4" w:rsidRPr="006225CA" w:rsidRDefault="002420B4" w:rsidP="002420B4">
      <w:pPr>
        <w:pStyle w:val="Sis1"/>
        <w:rPr>
          <w:lang w:val="sv-SE"/>
        </w:rPr>
      </w:pPr>
    </w:p>
    <w:p w14:paraId="390FECAF" w14:textId="77777777" w:rsidR="000365ED" w:rsidRPr="006225CA" w:rsidRDefault="000365ED" w:rsidP="002420B4">
      <w:pPr>
        <w:pStyle w:val="Sis1"/>
        <w:rPr>
          <w:lang w:val="sv-SE"/>
        </w:rPr>
      </w:pPr>
      <w:r w:rsidRPr="006225CA">
        <w:rPr>
          <w:lang w:val="sv-SE"/>
        </w:rPr>
        <w:t>Om understödet söks av ett företag, ska företagets personalantal och omsättningsbeloppet för den senaste räkenskapsperioden framgå av bilagan till ansökningsblanketten.</w:t>
      </w:r>
    </w:p>
    <w:p w14:paraId="32F7B809" w14:textId="66495F23" w:rsidR="000365ED" w:rsidRPr="006225CA" w:rsidRDefault="000365ED" w:rsidP="002420B4">
      <w:pPr>
        <w:pStyle w:val="Sis1"/>
        <w:rPr>
          <w:lang w:val="sv-SE"/>
        </w:rPr>
      </w:pPr>
      <w:r w:rsidRPr="006225CA">
        <w:rPr>
          <w:lang w:val="sv-SE"/>
        </w:rPr>
        <w:t>I intentionsavtalet förbinder sig delgenomförarna till den gemensamma ansökan, avtalar om vem som administrerar projektet och ger huvudsökanden/administratören fullmakt att lämna in ansökningsblanketten för deras del. Detta är mycket viktigt eftersom prövningsbaserat understöd inte kan beviljas genom förvaltningsbeslut till en person som inte har ansökt om stödet i fråga.</w:t>
      </w:r>
    </w:p>
    <w:p w14:paraId="27D3B854" w14:textId="77777777" w:rsidR="002420B4" w:rsidRPr="006225CA" w:rsidRDefault="002420B4" w:rsidP="002420B4">
      <w:pPr>
        <w:pStyle w:val="Sis1"/>
        <w:rPr>
          <w:lang w:val="sv-SE"/>
        </w:rPr>
      </w:pPr>
    </w:p>
    <w:p w14:paraId="3ACC9B37" w14:textId="0311A209" w:rsidR="000365ED" w:rsidRPr="006225CA" w:rsidRDefault="000365ED" w:rsidP="002420B4">
      <w:pPr>
        <w:pStyle w:val="Sis1"/>
        <w:rPr>
          <w:lang w:val="sv-SE"/>
        </w:rPr>
      </w:pPr>
      <w:r w:rsidRPr="006225CA">
        <w:rPr>
          <w:lang w:val="sv-SE"/>
        </w:rPr>
        <w:t>Utöver administratören och delgenomförarna kan projektet också ha andra samarbetspartner. Samarbetspartnern är en aktör som deltar i projektet men inte inkluderar sina kostnader i projektets budget.</w:t>
      </w:r>
    </w:p>
    <w:p w14:paraId="566B5968" w14:textId="752E0F66" w:rsidR="000365ED" w:rsidRPr="006225CA" w:rsidRDefault="000365ED" w:rsidP="002420B4">
      <w:pPr>
        <w:pStyle w:val="Otsikko2"/>
        <w:rPr>
          <w:lang w:val="sv-SE"/>
        </w:rPr>
      </w:pPr>
      <w:r w:rsidRPr="006225CA">
        <w:rPr>
          <w:lang w:val="sv-SE"/>
        </w:rPr>
        <w:t>Att beakta i avtalet för det gemensamma projektet</w:t>
      </w:r>
    </w:p>
    <w:p w14:paraId="5AB4E16E" w14:textId="6C0F7321" w:rsidR="00E816F3" w:rsidRPr="006225CA" w:rsidRDefault="005E4839" w:rsidP="002420B4">
      <w:pPr>
        <w:pStyle w:val="Sis1"/>
        <w:rPr>
          <w:lang w:val="sv-SE"/>
        </w:rPr>
      </w:pPr>
      <w:r w:rsidRPr="006225CA">
        <w:rPr>
          <w:lang w:val="sv-SE"/>
        </w:rPr>
        <w:t xml:space="preserve">Ett avtal om genomförande av samprojektet ska lämnas in till närings-, trafik- och miljöcentralen i Södra Savolax samband med ansökan om understöd. </w:t>
      </w:r>
      <w:r w:rsidR="000365ED" w:rsidRPr="006225CA">
        <w:rPr>
          <w:lang w:val="sv-SE"/>
        </w:rPr>
        <w:t>Det är fråga om ett dokument som undertecknas av alla delgenomförare. Undertecknare är personer som har officiell namnteckningsrätt i organisationerna i fråga samt andra ansökningshandlingar för delgenomföraren. Till avtalet ska bifogas en utredning om delgenomförarnas namnteckningsrätt.</w:t>
      </w:r>
    </w:p>
    <w:p w14:paraId="30834754" w14:textId="77777777" w:rsidR="000365ED" w:rsidRPr="006225CA" w:rsidRDefault="000365ED" w:rsidP="002420B4">
      <w:pPr>
        <w:pStyle w:val="Otsikko3"/>
        <w:rPr>
          <w:lang w:val="sv-SE"/>
        </w:rPr>
      </w:pPr>
      <w:r w:rsidRPr="006225CA">
        <w:rPr>
          <w:lang w:val="sv-SE"/>
        </w:rPr>
        <w:t>I avtalet ska åtminstone följande beaktas:</w:t>
      </w:r>
    </w:p>
    <w:p w14:paraId="3754398F" w14:textId="5FF1A75C" w:rsidR="000365ED" w:rsidRPr="006225CA" w:rsidRDefault="00B87BAE" w:rsidP="002420B4">
      <w:pPr>
        <w:pStyle w:val="Viiva1"/>
        <w:numPr>
          <w:ilvl w:val="0"/>
          <w:numId w:val="42"/>
        </w:numPr>
        <w:rPr>
          <w:lang w:val="sv-SE"/>
        </w:rPr>
      </w:pPr>
      <w:r w:rsidRPr="006225CA">
        <w:rPr>
          <w:lang w:val="sv-SE"/>
        </w:rPr>
        <w:t>Projektets namn</w:t>
      </w:r>
      <w:r w:rsidR="005E4839" w:rsidRPr="006225CA">
        <w:rPr>
          <w:lang w:val="sv-SE"/>
        </w:rPr>
        <w:t>.</w:t>
      </w:r>
    </w:p>
    <w:p w14:paraId="3530E6D6" w14:textId="49D3EAB1" w:rsidR="000365ED" w:rsidRPr="006225CA" w:rsidRDefault="00B87BAE" w:rsidP="002420B4">
      <w:pPr>
        <w:pStyle w:val="Viiva1"/>
        <w:numPr>
          <w:ilvl w:val="0"/>
          <w:numId w:val="42"/>
        </w:numPr>
        <w:rPr>
          <w:lang w:val="sv-SE"/>
        </w:rPr>
      </w:pPr>
      <w:r w:rsidRPr="006225CA">
        <w:rPr>
          <w:lang w:val="sv-SE"/>
        </w:rPr>
        <w:t>Parterna i det gemensamma projektet och den part som administrerar projektet</w:t>
      </w:r>
      <w:r w:rsidR="008A651A" w:rsidRPr="006225CA">
        <w:rPr>
          <w:lang w:val="sv-SE"/>
        </w:rPr>
        <w:t xml:space="preserve">: </w:t>
      </w:r>
      <w:r w:rsidRPr="006225CA">
        <w:rPr>
          <w:lang w:val="sv-SE"/>
        </w:rPr>
        <w:t>alla stödmottagare, FO-nummer, organisationens officiella namn och kontaktuppgifter,</w:t>
      </w:r>
      <w:r w:rsidR="008A651A" w:rsidRPr="006225CA">
        <w:rPr>
          <w:lang w:val="sv-SE"/>
        </w:rPr>
        <w:t xml:space="preserve"> och</w:t>
      </w:r>
      <w:r w:rsidRPr="006225CA">
        <w:rPr>
          <w:lang w:val="sv-SE"/>
        </w:rPr>
        <w:t xml:space="preserve"> officiella underskrifter av varje genomförarpart.</w:t>
      </w:r>
    </w:p>
    <w:p w14:paraId="301468F3" w14:textId="4F35E173" w:rsidR="000365ED" w:rsidRPr="006225CA" w:rsidRDefault="00B87BAE" w:rsidP="002420B4">
      <w:pPr>
        <w:pStyle w:val="Viiva1"/>
        <w:numPr>
          <w:ilvl w:val="0"/>
          <w:numId w:val="42"/>
        </w:numPr>
        <w:rPr>
          <w:lang w:val="sv-SE"/>
        </w:rPr>
      </w:pPr>
      <w:r w:rsidRPr="006225CA">
        <w:rPr>
          <w:lang w:val="sv-SE"/>
        </w:rPr>
        <w:t>Genom avtalet ska delgenomföraren ge projektets huvudgenomförare fullmakt att underteckna projektansökan, utbetalningsansökningarna och slutrapporten.</w:t>
      </w:r>
    </w:p>
    <w:p w14:paraId="1A0AF784" w14:textId="46556C59" w:rsidR="000365ED" w:rsidRPr="006225CA" w:rsidRDefault="004907A3" w:rsidP="002420B4">
      <w:pPr>
        <w:pStyle w:val="Viiva1"/>
        <w:numPr>
          <w:ilvl w:val="0"/>
          <w:numId w:val="42"/>
        </w:numPr>
        <w:rPr>
          <w:lang w:val="sv-SE"/>
        </w:rPr>
      </w:pPr>
      <w:r w:rsidRPr="006225CA">
        <w:rPr>
          <w:lang w:val="sv-SE"/>
        </w:rPr>
        <w:t>Avtalets giltighetstid: Var noga med datumen och uppmärksamma till exempel eventuella förlängningar.</w:t>
      </w:r>
    </w:p>
    <w:p w14:paraId="31C63023" w14:textId="075F91BA" w:rsidR="000365ED" w:rsidRPr="006225CA" w:rsidRDefault="00B87BAE" w:rsidP="002420B4">
      <w:pPr>
        <w:pStyle w:val="Viiva1"/>
        <w:numPr>
          <w:ilvl w:val="0"/>
          <w:numId w:val="42"/>
        </w:numPr>
        <w:rPr>
          <w:lang w:val="sv-SE"/>
        </w:rPr>
      </w:pPr>
      <w:r w:rsidRPr="006225CA">
        <w:rPr>
          <w:lang w:val="sv-SE"/>
        </w:rPr>
        <w:t>Avtal om penningrörelse</w:t>
      </w:r>
      <w:r w:rsidR="008A651A" w:rsidRPr="006225CA">
        <w:rPr>
          <w:lang w:val="sv-SE"/>
        </w:rPr>
        <w:t xml:space="preserve">: </w:t>
      </w:r>
      <w:r w:rsidRPr="006225CA">
        <w:rPr>
          <w:lang w:val="sv-SE"/>
        </w:rPr>
        <w:t>även kommunal, annan offentlig och privat finansiering – vem betalar till vem och när. Stödmottagarna ska beakta villkoren i finansieringsbeslutet.</w:t>
      </w:r>
    </w:p>
    <w:p w14:paraId="1B317680" w14:textId="02505DFA" w:rsidR="000365ED" w:rsidRPr="006225CA" w:rsidRDefault="00B87BAE" w:rsidP="002420B4">
      <w:pPr>
        <w:pStyle w:val="Viiva1"/>
        <w:numPr>
          <w:ilvl w:val="0"/>
          <w:numId w:val="42"/>
        </w:numPr>
        <w:rPr>
          <w:lang w:val="sv-SE"/>
        </w:rPr>
      </w:pPr>
      <w:r w:rsidRPr="006225CA">
        <w:rPr>
          <w:lang w:val="sv-SE"/>
        </w:rPr>
        <w:t>Det bör nämnas att åtgärderna samt kostnaderna och finansieringen per delprojekt genomförs i enlighet med de bifogade innehållsbeskrivnings- och budgetbilagorna för enskilda delgenomförare.</w:t>
      </w:r>
    </w:p>
    <w:p w14:paraId="539BC06D" w14:textId="774F7C48" w:rsidR="000365ED" w:rsidRPr="006225CA" w:rsidRDefault="00B87BAE" w:rsidP="002420B4">
      <w:pPr>
        <w:pStyle w:val="Viiva1"/>
        <w:numPr>
          <w:ilvl w:val="0"/>
          <w:numId w:val="42"/>
        </w:numPr>
        <w:rPr>
          <w:lang w:val="sv-SE"/>
        </w:rPr>
      </w:pPr>
      <w:r w:rsidRPr="006225CA">
        <w:rPr>
          <w:lang w:val="sv-SE"/>
        </w:rPr>
        <w:t>Upphandlingar: beskrivs att lagen om offentlig upphandling och villkoren i finansieringsbeslutet iakttas (konkurrensutsättning som huvudregel).</w:t>
      </w:r>
    </w:p>
    <w:p w14:paraId="1931EAB8" w14:textId="5850D461" w:rsidR="000365ED" w:rsidRPr="006225CA" w:rsidRDefault="00B87BAE" w:rsidP="002420B4">
      <w:pPr>
        <w:pStyle w:val="Viiva1"/>
        <w:numPr>
          <w:ilvl w:val="0"/>
          <w:numId w:val="42"/>
        </w:numPr>
        <w:rPr>
          <w:lang w:val="sv-SE"/>
        </w:rPr>
      </w:pPr>
      <w:r w:rsidRPr="006225CA">
        <w:rPr>
          <w:lang w:val="sv-SE"/>
        </w:rPr>
        <w:lastRenderedPageBreak/>
        <w:t>Bokföring: alla delprojektgenomförare ska ha projektspecifik bokföring enligt bokföringslagen, dvs. projektet har ett eget kostnadsställe i organisationens bokföring. Bokföringsmaterial i anslutning till genomförandet av projektet samt dokumentmaterial som behövs för granskningen av alla kostnader, inkomster och verksamhet ska förvaras i enlighet med villkoren i finansieringsbeslutet.</w:t>
      </w:r>
    </w:p>
    <w:p w14:paraId="2B065582" w14:textId="0FBFD0F4" w:rsidR="000365ED" w:rsidRPr="006225CA" w:rsidRDefault="00B87BAE" w:rsidP="002420B4">
      <w:pPr>
        <w:pStyle w:val="Viiva1"/>
        <w:numPr>
          <w:ilvl w:val="0"/>
          <w:numId w:val="42"/>
        </w:numPr>
        <w:rPr>
          <w:lang w:val="sv-SE"/>
        </w:rPr>
      </w:pPr>
      <w:r w:rsidRPr="006225CA">
        <w:rPr>
          <w:lang w:val="sv-SE"/>
        </w:rPr>
        <w:t>Administratörens eventuella behörighet att juridiskt representera alla stödmottagare.</w:t>
      </w:r>
    </w:p>
    <w:p w14:paraId="2D0B2CB3" w14:textId="77777777" w:rsidR="000365ED" w:rsidRPr="006225CA" w:rsidRDefault="000365ED" w:rsidP="002420B4">
      <w:pPr>
        <w:pStyle w:val="Otsikko3"/>
        <w:rPr>
          <w:lang w:val="sv-SE"/>
        </w:rPr>
      </w:pPr>
      <w:r w:rsidRPr="006225CA">
        <w:rPr>
          <w:lang w:val="sv-SE"/>
        </w:rPr>
        <w:t>Administratörens ansvar och skyldigheter</w:t>
      </w:r>
    </w:p>
    <w:p w14:paraId="20BEAC04" w14:textId="2C07A02E" w:rsidR="000365ED" w:rsidRPr="006225CA" w:rsidRDefault="00B87BAE" w:rsidP="002420B4">
      <w:pPr>
        <w:pStyle w:val="Viiva1"/>
        <w:numPr>
          <w:ilvl w:val="0"/>
          <w:numId w:val="43"/>
        </w:numPr>
        <w:rPr>
          <w:lang w:val="sv-SE"/>
        </w:rPr>
      </w:pPr>
      <w:r w:rsidRPr="006225CA">
        <w:rPr>
          <w:lang w:val="sv-SE"/>
        </w:rPr>
        <w:t>Koordinering och styrning av ett gemensamt projekt; helhetsuppföljning av projektet.</w:t>
      </w:r>
    </w:p>
    <w:p w14:paraId="4DD9D8E3" w14:textId="7CFF982A" w:rsidR="000365ED" w:rsidRPr="006225CA" w:rsidRDefault="00B87BAE" w:rsidP="002420B4">
      <w:pPr>
        <w:pStyle w:val="Viiva1"/>
        <w:numPr>
          <w:ilvl w:val="0"/>
          <w:numId w:val="43"/>
        </w:numPr>
        <w:rPr>
          <w:lang w:val="sv-SE"/>
        </w:rPr>
      </w:pPr>
      <w:r w:rsidRPr="006225CA">
        <w:rPr>
          <w:lang w:val="sv-SE"/>
        </w:rPr>
        <w:t>Säkerställande av informationsgången mellan genomförarna.</w:t>
      </w:r>
    </w:p>
    <w:p w14:paraId="39626896" w14:textId="1EF7AB45" w:rsidR="000365ED" w:rsidRPr="006225CA" w:rsidRDefault="00B87BAE" w:rsidP="002420B4">
      <w:pPr>
        <w:pStyle w:val="Viiva1"/>
        <w:numPr>
          <w:ilvl w:val="0"/>
          <w:numId w:val="43"/>
        </w:numPr>
        <w:rPr>
          <w:lang w:val="sv-SE"/>
        </w:rPr>
      </w:pPr>
      <w:r w:rsidRPr="006225CA">
        <w:rPr>
          <w:lang w:val="sv-SE"/>
        </w:rPr>
        <w:t>Följer den godkända projektplanen och villkoren i finansieringsbeslutet, och ser till att de tidtabeller som nämns i finansieringsbeslutet iakttas för hela det gemensamma projektets del.</w:t>
      </w:r>
    </w:p>
    <w:p w14:paraId="0F532075" w14:textId="646410E2" w:rsidR="000365ED" w:rsidRPr="006225CA" w:rsidRDefault="00B87BAE" w:rsidP="002420B4">
      <w:pPr>
        <w:pStyle w:val="Viiva1"/>
        <w:numPr>
          <w:ilvl w:val="0"/>
          <w:numId w:val="43"/>
        </w:numPr>
        <w:rPr>
          <w:lang w:val="sv-SE"/>
        </w:rPr>
      </w:pPr>
      <w:r w:rsidRPr="006225CA">
        <w:rPr>
          <w:lang w:val="sv-SE"/>
        </w:rPr>
        <w:t>Gör upp en projektansökan och eventuella ändringsansökningar och skickar den till finansiären.</w:t>
      </w:r>
    </w:p>
    <w:p w14:paraId="0310D371" w14:textId="77E64921" w:rsidR="000365ED" w:rsidRPr="006225CA" w:rsidRDefault="00B87BAE" w:rsidP="002420B4">
      <w:pPr>
        <w:pStyle w:val="Viiva1"/>
        <w:numPr>
          <w:ilvl w:val="0"/>
          <w:numId w:val="43"/>
        </w:numPr>
        <w:rPr>
          <w:lang w:val="sv-SE"/>
        </w:rPr>
      </w:pPr>
      <w:r w:rsidRPr="006225CA">
        <w:rPr>
          <w:lang w:val="sv-SE"/>
        </w:rPr>
        <w:t>Gör vid behov upp ett rättelseyrkande för vilket delprojekt som helst.</w:t>
      </w:r>
    </w:p>
    <w:p w14:paraId="1C636C6B" w14:textId="22B3DAF2" w:rsidR="000365ED" w:rsidRPr="006225CA" w:rsidRDefault="00B87BAE" w:rsidP="002420B4">
      <w:pPr>
        <w:pStyle w:val="Viiva1"/>
        <w:numPr>
          <w:ilvl w:val="0"/>
          <w:numId w:val="43"/>
        </w:numPr>
        <w:rPr>
          <w:lang w:val="sv-SE"/>
        </w:rPr>
      </w:pPr>
      <w:r w:rsidRPr="006225CA">
        <w:rPr>
          <w:lang w:val="sv-SE"/>
        </w:rPr>
        <w:t>Kontaktperson gentemot finansiären</w:t>
      </w:r>
      <w:r w:rsidR="008A651A" w:rsidRPr="006225CA">
        <w:rPr>
          <w:lang w:val="sv-SE"/>
        </w:rPr>
        <w:t xml:space="preserve">: </w:t>
      </w:r>
      <w:r w:rsidRPr="006225CA">
        <w:rPr>
          <w:lang w:val="sv-SE"/>
        </w:rPr>
        <w:t>sammanställning av uppgifter och översändande av uppgifter till finansiären gällande samprojektet.</w:t>
      </w:r>
    </w:p>
    <w:p w14:paraId="2D42FF64" w14:textId="6521E2E2" w:rsidR="000365ED" w:rsidRPr="006225CA" w:rsidRDefault="00B87BAE" w:rsidP="002420B4">
      <w:pPr>
        <w:pStyle w:val="Viiva1"/>
        <w:numPr>
          <w:ilvl w:val="0"/>
          <w:numId w:val="43"/>
        </w:numPr>
        <w:rPr>
          <w:lang w:val="sv-SE"/>
        </w:rPr>
      </w:pPr>
      <w:r w:rsidRPr="006225CA">
        <w:rPr>
          <w:lang w:val="sv-SE"/>
        </w:rPr>
        <w:t>Utbetalning:</w:t>
      </w:r>
    </w:p>
    <w:p w14:paraId="7E4C73D8" w14:textId="1B365CC6" w:rsidR="000365ED" w:rsidRPr="006225CA" w:rsidRDefault="00433070" w:rsidP="00433070">
      <w:pPr>
        <w:pStyle w:val="Viiva1"/>
        <w:numPr>
          <w:ilvl w:val="0"/>
          <w:numId w:val="43"/>
        </w:numPr>
        <w:tabs>
          <w:tab w:val="clear" w:pos="1661"/>
          <w:tab w:val="num" w:pos="2018"/>
        </w:tabs>
        <w:ind w:left="2018"/>
        <w:rPr>
          <w:lang w:val="sv-SE"/>
        </w:rPr>
      </w:pPr>
      <w:r w:rsidRPr="006225CA">
        <w:rPr>
          <w:lang w:val="sv-SE"/>
        </w:rPr>
        <w:t>Sammanställer en utbetalningsansökan för samprojektet samt säkerställer att uppgifterna är korrekta</w:t>
      </w:r>
      <w:r w:rsidR="00060C8E" w:rsidRPr="006225CA">
        <w:rPr>
          <w:lang w:val="sv-SE"/>
        </w:rPr>
        <w:t xml:space="preserve"> till exempel</w:t>
      </w:r>
      <w:r w:rsidRPr="006225CA">
        <w:rPr>
          <w:lang w:val="sv-SE"/>
        </w:rPr>
        <w:t xml:space="preserve"> för att undvika överlappande uppgifter.</w:t>
      </w:r>
    </w:p>
    <w:p w14:paraId="56052179" w14:textId="60CF58A5" w:rsidR="000365ED" w:rsidRPr="006225CA" w:rsidRDefault="00433070" w:rsidP="00433070">
      <w:pPr>
        <w:pStyle w:val="Viiva1"/>
        <w:numPr>
          <w:ilvl w:val="0"/>
          <w:numId w:val="43"/>
        </w:numPr>
        <w:tabs>
          <w:tab w:val="clear" w:pos="1661"/>
          <w:tab w:val="num" w:pos="2018"/>
        </w:tabs>
        <w:ind w:left="2018"/>
        <w:rPr>
          <w:lang w:val="sv-SE"/>
        </w:rPr>
      </w:pPr>
      <w:r w:rsidRPr="006225CA">
        <w:rPr>
          <w:lang w:val="sv-SE"/>
        </w:rPr>
        <w:t>Förmedlar det utbetalda statliga stödet till de andra som genomför samprojektet.</w:t>
      </w:r>
    </w:p>
    <w:p w14:paraId="1DE2107A" w14:textId="3B2D4133" w:rsidR="000365ED" w:rsidRPr="006225CA" w:rsidRDefault="00433070" w:rsidP="002420B4">
      <w:pPr>
        <w:pStyle w:val="Viiva1"/>
        <w:numPr>
          <w:ilvl w:val="0"/>
          <w:numId w:val="43"/>
        </w:numPr>
        <w:rPr>
          <w:lang w:val="sv-SE"/>
        </w:rPr>
      </w:pPr>
      <w:r w:rsidRPr="006225CA">
        <w:rPr>
          <w:lang w:val="sv-SE"/>
        </w:rPr>
        <w:t xml:space="preserve">Organisering av </w:t>
      </w:r>
      <w:r w:rsidR="00F4347B" w:rsidRPr="006225CA">
        <w:rPr>
          <w:lang w:val="sv-SE"/>
        </w:rPr>
        <w:t xml:space="preserve">en eventuell </w:t>
      </w:r>
      <w:r w:rsidRPr="006225CA">
        <w:rPr>
          <w:lang w:val="sv-SE"/>
        </w:rPr>
        <w:t>styrgruppens verksamhet, inklusive tillsättande av en grupp.</w:t>
      </w:r>
    </w:p>
    <w:p w14:paraId="049ED2EB" w14:textId="59695308" w:rsidR="000365ED" w:rsidRPr="006225CA" w:rsidRDefault="00F4347B" w:rsidP="002420B4">
      <w:pPr>
        <w:pStyle w:val="Viiva1"/>
        <w:numPr>
          <w:ilvl w:val="0"/>
          <w:numId w:val="43"/>
        </w:numPr>
        <w:rPr>
          <w:lang w:val="sv-SE"/>
        </w:rPr>
      </w:pPr>
      <w:r w:rsidRPr="006225CA">
        <w:rPr>
          <w:lang w:val="sv-SE"/>
        </w:rPr>
        <w:t xml:space="preserve">Uppföljning av stöd i form av </w:t>
      </w:r>
      <w:r w:rsidR="00433070" w:rsidRPr="006225CA">
        <w:rPr>
          <w:lang w:val="sv-SE"/>
        </w:rPr>
        <w:t>De minimis</w:t>
      </w:r>
      <w:r w:rsidRPr="006225CA">
        <w:rPr>
          <w:lang w:val="sv-SE"/>
        </w:rPr>
        <w:t xml:space="preserve"> </w:t>
      </w:r>
      <w:r w:rsidR="00433070" w:rsidRPr="006225CA">
        <w:rPr>
          <w:lang w:val="sv-SE"/>
        </w:rPr>
        <w:t>på hela samprojektets nivå.</w:t>
      </w:r>
    </w:p>
    <w:p w14:paraId="5C0E367E" w14:textId="72415E0B" w:rsidR="000365ED" w:rsidRPr="006225CA" w:rsidRDefault="00433070" w:rsidP="002420B4">
      <w:pPr>
        <w:pStyle w:val="Viiva1"/>
        <w:numPr>
          <w:ilvl w:val="0"/>
          <w:numId w:val="43"/>
        </w:numPr>
        <w:rPr>
          <w:lang w:val="sv-SE"/>
        </w:rPr>
      </w:pPr>
      <w:r w:rsidRPr="006225CA">
        <w:rPr>
          <w:lang w:val="sv-SE"/>
        </w:rPr>
        <w:t>Koordineringsansvar för förvaringen av hela det gemensamma projektets handlingar så att allt bokföringsmaterial och annat material som gäller projektet finns sparat. Administratören ska ansvara för att alla delgenomförare är medvetna om var vilket material finns, så att det är möjligt att övervaka användningen av stödet.</w:t>
      </w:r>
    </w:p>
    <w:p w14:paraId="284D77A9" w14:textId="77777777" w:rsidR="000365ED" w:rsidRPr="006225CA" w:rsidRDefault="000365ED" w:rsidP="002420B4">
      <w:pPr>
        <w:pStyle w:val="Otsikko3"/>
        <w:rPr>
          <w:lang w:val="sv-SE"/>
        </w:rPr>
      </w:pPr>
      <w:r w:rsidRPr="006225CA">
        <w:rPr>
          <w:lang w:val="sv-SE"/>
        </w:rPr>
        <w:t>Delgenomförarnas ansvar och skyldigheter</w:t>
      </w:r>
    </w:p>
    <w:p w14:paraId="3EF459D9" w14:textId="4B4730D1" w:rsidR="000365ED" w:rsidRPr="006225CA" w:rsidRDefault="00433070" w:rsidP="002420B4">
      <w:pPr>
        <w:pStyle w:val="Viiva1"/>
        <w:numPr>
          <w:ilvl w:val="0"/>
          <w:numId w:val="44"/>
        </w:numPr>
        <w:rPr>
          <w:lang w:val="sv-SE"/>
        </w:rPr>
      </w:pPr>
      <w:r w:rsidRPr="006225CA">
        <w:rPr>
          <w:lang w:val="sv-SE"/>
        </w:rPr>
        <w:t>Följa den godkända projektplanen</w:t>
      </w:r>
      <w:r w:rsidR="008A651A" w:rsidRPr="006225CA">
        <w:rPr>
          <w:lang w:val="sv-SE"/>
        </w:rPr>
        <w:t xml:space="preserve"> </w:t>
      </w:r>
      <w:r w:rsidRPr="006225CA">
        <w:rPr>
          <w:lang w:val="sv-SE"/>
        </w:rPr>
        <w:t>och villkoren i finansieringsbeslutet.</w:t>
      </w:r>
      <w:r w:rsidR="008A651A" w:rsidRPr="006225CA">
        <w:rPr>
          <w:lang w:val="sv-SE"/>
        </w:rPr>
        <w:t xml:space="preserve"> Eventuella problem och ändringsbehov ska meddelas snarast möjligt till administratören. </w:t>
      </w:r>
    </w:p>
    <w:p w14:paraId="3F27B04D" w14:textId="08F8817B" w:rsidR="000365ED" w:rsidRPr="006225CA" w:rsidRDefault="00433070" w:rsidP="002420B4">
      <w:pPr>
        <w:pStyle w:val="Viiva1"/>
        <w:numPr>
          <w:ilvl w:val="0"/>
          <w:numId w:val="44"/>
        </w:numPr>
        <w:rPr>
          <w:lang w:val="sv-SE"/>
        </w:rPr>
      </w:pPr>
      <w:r w:rsidRPr="006225CA">
        <w:rPr>
          <w:lang w:val="sv-SE"/>
        </w:rPr>
        <w:t>Till administratören lämna in de uppgifter som behövs för upprättande av utbetalningsansökningar enligt den tidtabell som administratören fastställt.</w:t>
      </w:r>
    </w:p>
    <w:p w14:paraId="70A344F9" w14:textId="548F47A9" w:rsidR="000365ED" w:rsidRPr="006225CA" w:rsidRDefault="00433070" w:rsidP="002420B4">
      <w:pPr>
        <w:pStyle w:val="Viiva1"/>
        <w:numPr>
          <w:ilvl w:val="0"/>
          <w:numId w:val="44"/>
        </w:numPr>
        <w:rPr>
          <w:lang w:val="sv-SE"/>
        </w:rPr>
      </w:pPr>
      <w:r w:rsidRPr="006225CA">
        <w:rPr>
          <w:lang w:val="sv-SE"/>
        </w:rPr>
        <w:t>De minimis-uppföljning för det egna delprojektets del.</w:t>
      </w:r>
    </w:p>
    <w:p w14:paraId="28AC04D6" w14:textId="4B8E194D" w:rsidR="000365ED" w:rsidRPr="006225CA" w:rsidRDefault="00433070" w:rsidP="002420B4">
      <w:pPr>
        <w:pStyle w:val="Viiva1"/>
        <w:numPr>
          <w:ilvl w:val="0"/>
          <w:numId w:val="44"/>
        </w:numPr>
        <w:rPr>
          <w:lang w:val="sv-SE"/>
        </w:rPr>
      </w:pPr>
      <w:r w:rsidRPr="006225CA">
        <w:rPr>
          <w:lang w:val="sv-SE"/>
        </w:rPr>
        <w:t>Ansvaret för förvaringen av dokumenten för det egna delprojektet så att allt bokföringsmaterial och annat material som gäller projektet finns sparade. Delgenomförarna ska ansvara för att de är medvetna om var vilket material som finns så att det är möjligt att övervaka användningen av stödet.</w:t>
      </w:r>
    </w:p>
    <w:p w14:paraId="6A425683" w14:textId="4D8387FD" w:rsidR="000365ED" w:rsidRPr="006225CA" w:rsidRDefault="000365ED" w:rsidP="002420B4">
      <w:pPr>
        <w:pStyle w:val="Otsikko3"/>
        <w:rPr>
          <w:lang w:val="sv-SE"/>
        </w:rPr>
      </w:pPr>
      <w:r w:rsidRPr="006225CA">
        <w:rPr>
          <w:lang w:val="sv-SE"/>
        </w:rPr>
        <w:t>Annat att beakta</w:t>
      </w:r>
    </w:p>
    <w:p w14:paraId="0DFDD874" w14:textId="71ACCD28" w:rsidR="000365ED" w:rsidRPr="006225CA" w:rsidRDefault="00433070" w:rsidP="002420B4">
      <w:pPr>
        <w:pStyle w:val="Viiva1"/>
        <w:numPr>
          <w:ilvl w:val="0"/>
          <w:numId w:val="45"/>
        </w:numPr>
        <w:rPr>
          <w:lang w:val="sv-SE"/>
        </w:rPr>
      </w:pPr>
      <w:r w:rsidRPr="006225CA">
        <w:rPr>
          <w:lang w:val="sv-SE"/>
        </w:rPr>
        <w:t>Kommunikation om projektet och dess resultat: det antas att varje delprojekt informerar om sitt eget delprojekt och dess resultat, även om man måste beakta att man även då hänvisar till det gemensamma projektet (samprojektets namn används) och dess resultat. Man ska också komma överens om vilken instans som ska informera om det gemensamma projektet i sin helhet.</w:t>
      </w:r>
    </w:p>
    <w:p w14:paraId="5E658D17" w14:textId="57BDF80F" w:rsidR="000365ED" w:rsidRPr="006225CA" w:rsidRDefault="00433070" w:rsidP="002420B4">
      <w:pPr>
        <w:pStyle w:val="Viiva1"/>
        <w:numPr>
          <w:ilvl w:val="0"/>
          <w:numId w:val="45"/>
        </w:numPr>
        <w:rPr>
          <w:lang w:val="sv-SE"/>
        </w:rPr>
      </w:pPr>
      <w:r w:rsidRPr="006225CA">
        <w:rPr>
          <w:lang w:val="sv-SE"/>
        </w:rPr>
        <w:t>Projektets resultat och upphovsrättsfrågor.</w:t>
      </w:r>
    </w:p>
    <w:p w14:paraId="0D368049" w14:textId="61A57DA0" w:rsidR="000365ED" w:rsidRPr="006225CA" w:rsidRDefault="00433070" w:rsidP="002302E5">
      <w:pPr>
        <w:pStyle w:val="Viiva1"/>
        <w:numPr>
          <w:ilvl w:val="0"/>
          <w:numId w:val="45"/>
        </w:numPr>
        <w:rPr>
          <w:lang w:val="sv-SE"/>
        </w:rPr>
      </w:pPr>
      <w:r w:rsidRPr="006225CA">
        <w:rPr>
          <w:lang w:val="sv-SE"/>
        </w:rPr>
        <w:lastRenderedPageBreak/>
        <w:t xml:space="preserve">Ansvar för projektets bestående resultat/effekter </w:t>
      </w:r>
      <w:r w:rsidR="008A651A" w:rsidRPr="006225CA">
        <w:rPr>
          <w:lang w:val="sv-SE"/>
        </w:rPr>
        <w:t>till exempel</w:t>
      </w:r>
      <w:r w:rsidRPr="006225CA">
        <w:rPr>
          <w:lang w:val="sv-SE"/>
        </w:rPr>
        <w:t xml:space="preserve"> underhåll efter projektet.</w:t>
      </w:r>
      <w:bookmarkEnd w:id="1"/>
    </w:p>
    <w:sectPr w:rsidR="000365ED" w:rsidRPr="006225CA" w:rsidSect="005D791D">
      <w:headerReference w:type="default" r:id="rId26"/>
      <w:footerReference w:type="default" r:id="rId27"/>
      <w:headerReference w:type="first" r:id="rId28"/>
      <w:footerReference w:type="first" r:id="rId29"/>
      <w:pgSz w:w="11906" w:h="16838" w:code="9"/>
      <w:pgMar w:top="1701" w:right="851" w:bottom="1135" w:left="1140" w:header="993"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9F95" w14:textId="77777777" w:rsidR="00424AE3" w:rsidRDefault="00424AE3" w:rsidP="00A87A76">
      <w:r>
        <w:separator/>
      </w:r>
    </w:p>
    <w:p w14:paraId="7245FF20" w14:textId="77777777" w:rsidR="00424AE3" w:rsidRDefault="00424AE3"/>
  </w:endnote>
  <w:endnote w:type="continuationSeparator" w:id="0">
    <w:p w14:paraId="3CAA0501" w14:textId="77777777" w:rsidR="00424AE3" w:rsidRDefault="00424AE3" w:rsidP="00A87A76">
      <w:r>
        <w:continuationSeparator/>
      </w:r>
    </w:p>
    <w:p w14:paraId="618EC6A3" w14:textId="77777777" w:rsidR="00424AE3" w:rsidRDefault="00424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E7B2" w14:textId="77777777" w:rsidR="005D791D" w:rsidRDefault="005D791D" w:rsidP="005D791D">
    <w:pPr>
      <w:pStyle w:val="Alatunniste"/>
    </w:pPr>
    <w:r>
      <w:rPr>
        <w:szCs w:val="14"/>
      </w:rPr>
      <w:t>ely12f2i_sv 08/2023</w:t>
    </w:r>
  </w:p>
  <w:p w14:paraId="469629B8" w14:textId="77777777" w:rsidR="005D791D" w:rsidRDefault="005D791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C0D6" w14:textId="1DC155E1" w:rsidR="005D791D" w:rsidRDefault="005D791D">
    <w:pPr>
      <w:pStyle w:val="Alatunniste"/>
    </w:pPr>
    <w:r>
      <w:rPr>
        <w:szCs w:val="14"/>
      </w:rPr>
      <w:t>ely12f2i_sv 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2973" w14:textId="77777777" w:rsidR="00424AE3" w:rsidRDefault="00424AE3" w:rsidP="00A87A76">
      <w:r>
        <w:separator/>
      </w:r>
    </w:p>
    <w:p w14:paraId="36DCDA66" w14:textId="77777777" w:rsidR="00424AE3" w:rsidRDefault="00424AE3"/>
  </w:footnote>
  <w:footnote w:type="continuationSeparator" w:id="0">
    <w:p w14:paraId="65F81BF1" w14:textId="77777777" w:rsidR="00424AE3" w:rsidRDefault="00424AE3" w:rsidP="00A87A76">
      <w:r>
        <w:continuationSeparator/>
      </w:r>
    </w:p>
    <w:p w14:paraId="7A54D97E" w14:textId="77777777" w:rsidR="00424AE3" w:rsidRDefault="00424AE3"/>
  </w:footnote>
  <w:footnote w:id="1">
    <w:p w14:paraId="7A2B6497" w14:textId="77777777" w:rsidR="00845561" w:rsidRDefault="00845561" w:rsidP="00845561">
      <w:pPr>
        <w:pStyle w:val="Alaviitteenteksti"/>
        <w:jc w:val="both"/>
        <w:rPr>
          <w:rFonts w:ascii="Times New Roman" w:eastAsia="Times New Roman" w:hAnsi="Times New Roman" w:cs="Times New Roman"/>
          <w:sz w:val="16"/>
          <w:szCs w:val="16"/>
        </w:rPr>
      </w:pPr>
      <w:r>
        <w:rPr>
          <w:rStyle w:val="Alaviitteenviite"/>
          <w:rFonts w:ascii="Times New Roman" w:hAnsi="Times New Roman" w:cs="Times New Roman"/>
          <w:sz w:val="16"/>
          <w:szCs w:val="16"/>
        </w:rPr>
        <w:footnoteRef/>
      </w:r>
      <w:r>
        <w:t xml:space="preserve"> </w:t>
      </w:r>
      <w:r>
        <w:rPr>
          <w:rFonts w:ascii="Times New Roman" w:hAnsi="Times New Roman"/>
          <w:sz w:val="16"/>
        </w:rPr>
        <w:t>Med undantag för projekt inom ramen för denna åtgärd för el- och/eller värmeproduktion samt tillhörande överförings- och distributionsinfrastruktur som använder naturgas och som uppfyller de fastställda villkoren i bilaga III enligt principen ”Ingen betydande skada” (2021/C 58/01).</w:t>
      </w:r>
    </w:p>
    <w:p w14:paraId="6DBEDC2E" w14:textId="77777777" w:rsidR="00845561" w:rsidRDefault="00845561" w:rsidP="00845561">
      <w:pPr>
        <w:pStyle w:val="Alaviitteenteksti"/>
        <w:jc w:val="both"/>
        <w:rPr>
          <w:rFonts w:ascii="Times New Roman" w:eastAsia="Times New Roman" w:hAnsi="Times New Roman" w:cs="Times New Roman"/>
          <w:sz w:val="16"/>
          <w:szCs w:val="16"/>
        </w:rPr>
      </w:pPr>
      <w:r>
        <w:rPr>
          <w:rFonts w:ascii="Times New Roman" w:hAnsi="Times New Roman"/>
          <w:sz w:val="16"/>
        </w:rPr>
        <w:t xml:space="preserve">  </w:t>
      </w:r>
    </w:p>
    <w:p w14:paraId="4E11BD22" w14:textId="77777777" w:rsidR="00845561" w:rsidRDefault="00845561" w:rsidP="00845561">
      <w:pPr>
        <w:pStyle w:val="Alaviitteenteksti"/>
        <w:jc w:val="both"/>
        <w:rPr>
          <w:rFonts w:ascii="Times New Roman" w:hAnsi="Times New Roman" w:cs="Times New Roman"/>
          <w:sz w:val="16"/>
          <w:szCs w:val="16"/>
          <w:lang w:val="fi-FI"/>
        </w:rPr>
      </w:pPr>
    </w:p>
  </w:footnote>
  <w:footnote w:id="2">
    <w:p w14:paraId="199194E6" w14:textId="77777777" w:rsidR="00845561" w:rsidRPr="007B6C36" w:rsidRDefault="00845561" w:rsidP="00845561">
      <w:pPr>
        <w:pStyle w:val="Alaviitteenteksti"/>
        <w:jc w:val="both"/>
        <w:rPr>
          <w:rFonts w:asciiTheme="minorHAnsi" w:hAnsiTheme="minorHAnsi"/>
          <w:sz w:val="16"/>
          <w:szCs w:val="16"/>
        </w:rPr>
      </w:pPr>
      <w:r>
        <w:rPr>
          <w:rStyle w:val="Alaviitteenviite"/>
          <w:rFonts w:ascii="Times New Roman" w:hAnsi="Times New Roman" w:cs="Times New Roman"/>
          <w:sz w:val="16"/>
          <w:szCs w:val="16"/>
        </w:rPr>
        <w:footnoteRef/>
      </w:r>
      <w:r>
        <w:tab/>
      </w:r>
      <w:r w:rsidRPr="007B6C36">
        <w:rPr>
          <w:rFonts w:asciiTheme="minorHAnsi" w:hAnsiTheme="minorHAnsi"/>
          <w:sz w:val="16"/>
          <w:szCs w:val="16"/>
        </w:rPr>
        <w:t>Om den stödda verksamheten resulterar i växthusgasutsläpp som inte är betydligt lägre än riktmärkesvärdena, måste orsakerna till den ringa minskningen av utsläppen förklaras. Riktmärkesvärdena för gratis tilldelning av utsläppsrätter som omfattas av utsläppshandelssystemet har fastställts i kommissionens genomförandeförordning (EU) 2021/447.</w:t>
      </w:r>
    </w:p>
    <w:p w14:paraId="010A0357" w14:textId="77777777" w:rsidR="00845561" w:rsidRPr="007B6C36" w:rsidRDefault="00845561" w:rsidP="00845561">
      <w:pPr>
        <w:pStyle w:val="Alaviitteenteksti"/>
        <w:jc w:val="both"/>
        <w:rPr>
          <w:rFonts w:asciiTheme="minorHAnsi" w:hAnsiTheme="minorHAnsi"/>
          <w:sz w:val="16"/>
          <w:szCs w:val="16"/>
        </w:rPr>
      </w:pPr>
    </w:p>
  </w:footnote>
  <w:footnote w:id="3">
    <w:p w14:paraId="782ED487" w14:textId="77777777" w:rsidR="00845561" w:rsidRPr="007B6C36" w:rsidRDefault="00845561" w:rsidP="00845561">
      <w:pPr>
        <w:pStyle w:val="Alaviitteenteksti"/>
        <w:jc w:val="both"/>
        <w:rPr>
          <w:rFonts w:asciiTheme="minorHAnsi" w:eastAsia="Times New Roman" w:hAnsiTheme="minorHAnsi"/>
          <w:sz w:val="16"/>
          <w:szCs w:val="16"/>
        </w:rPr>
      </w:pPr>
      <w:r w:rsidRPr="007B6C36">
        <w:rPr>
          <w:rStyle w:val="Alaviitteenviite"/>
          <w:rFonts w:asciiTheme="minorHAnsi" w:hAnsiTheme="minorHAnsi"/>
          <w:sz w:val="16"/>
          <w:szCs w:val="16"/>
        </w:rPr>
        <w:footnoteRef/>
      </w:r>
      <w:r w:rsidRPr="007B6C36">
        <w:rPr>
          <w:rFonts w:asciiTheme="minorHAnsi" w:hAnsiTheme="minorHAnsi"/>
          <w:sz w:val="16"/>
          <w:szCs w:val="16"/>
        </w:rPr>
        <w:t xml:space="preserve"> Detta undantag gäller inte anläggningar som uteslutande hanterar farligt icke-återvinningsbart avfall och inte heller befintliga anläggningar där verksamheten syftar till att öka energieffektiviteten, återvinna gaser för lagring eller användning eller återvinna material ur brännaska. En förutsättning är att åtgärderna inte leder till att antalet anläggningar ökar eller en förlängning av deras livslängd. </w:t>
      </w:r>
    </w:p>
    <w:p w14:paraId="379C3A87" w14:textId="77777777" w:rsidR="00845561" w:rsidRPr="007B6C36" w:rsidRDefault="00845561" w:rsidP="00845561">
      <w:pPr>
        <w:pStyle w:val="Alaviitteenteksti"/>
        <w:jc w:val="both"/>
        <w:rPr>
          <w:rFonts w:asciiTheme="minorHAnsi" w:hAnsiTheme="minorHAnsi"/>
          <w:sz w:val="16"/>
          <w:szCs w:val="16"/>
        </w:rPr>
      </w:pPr>
    </w:p>
  </w:footnote>
  <w:footnote w:id="4">
    <w:p w14:paraId="7F7E193E" w14:textId="77777777" w:rsidR="00845561" w:rsidRPr="007B6C36" w:rsidRDefault="00845561" w:rsidP="00845561">
      <w:pPr>
        <w:pStyle w:val="Alaviitteenteksti"/>
        <w:jc w:val="both"/>
        <w:rPr>
          <w:rFonts w:asciiTheme="minorHAnsi" w:eastAsia="Times New Roman" w:hAnsiTheme="minorHAnsi"/>
          <w:sz w:val="16"/>
          <w:szCs w:val="16"/>
        </w:rPr>
      </w:pPr>
      <w:r w:rsidRPr="007B6C36">
        <w:rPr>
          <w:rStyle w:val="Alaviitteenviite"/>
          <w:rFonts w:asciiTheme="minorHAnsi" w:hAnsiTheme="minorHAnsi"/>
          <w:sz w:val="16"/>
          <w:szCs w:val="16"/>
        </w:rPr>
        <w:footnoteRef/>
      </w:r>
      <w:r w:rsidRPr="007B6C36">
        <w:rPr>
          <w:rFonts w:asciiTheme="minorHAnsi" w:hAnsiTheme="minorHAnsi"/>
          <w:sz w:val="16"/>
          <w:szCs w:val="16"/>
        </w:rPr>
        <w:t xml:space="preserve">  Denna undantagsregel tillämpas inte i befintliga mekaniska/biologiska reningsverk där åtgärderna enligt denna åtgärd syftar till att öka energieffektiviteten eller återvinna återvunnet avfall till bioavfall och anaerob nedbrytning av bioavfall. En förutsättning är att åtgärderna inte leder till att antalet anläggningar ökar eller en förlängning av deras livslängd. </w:t>
      </w:r>
    </w:p>
    <w:p w14:paraId="239B5550" w14:textId="77777777" w:rsidR="00845561" w:rsidRDefault="00845561" w:rsidP="00845561">
      <w:pPr>
        <w:pStyle w:val="Alaviitteenteksti"/>
        <w:jc w:val="both"/>
        <w:rPr>
          <w:rFonts w:ascii="Times New Roman" w:hAnsi="Times New Roman" w:cs="Times New Roman"/>
          <w:sz w:val="16"/>
          <w:szCs w:val="16"/>
        </w:rPr>
      </w:pPr>
      <w:r>
        <w:rPr>
          <w:rFonts w:ascii="Times New Roman" w:hAnsi="Times New Roman"/>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HeaderTable"/>
      <w:tblW w:w="10490" w:type="dxa"/>
      <w:tblLayout w:type="fixed"/>
      <w:tblLook w:val="04A0" w:firstRow="1" w:lastRow="0" w:firstColumn="1" w:lastColumn="0" w:noHBand="0" w:noVBand="1"/>
    </w:tblPr>
    <w:tblGrid>
      <w:gridCol w:w="5213"/>
      <w:gridCol w:w="2552"/>
      <w:gridCol w:w="1303"/>
      <w:gridCol w:w="1422"/>
    </w:tblGrid>
    <w:tr w:rsidR="003C1DDF" w:rsidRPr="00C60FDB" w14:paraId="14AABC56" w14:textId="77777777" w:rsidTr="003C1DDF">
      <w:trPr>
        <w:trHeight w:val="220"/>
      </w:trPr>
      <w:tc>
        <w:tcPr>
          <w:tcW w:w="5213" w:type="dxa"/>
        </w:tcPr>
        <w:p w14:paraId="7A14AD45" w14:textId="77777777" w:rsidR="003C1DDF" w:rsidRPr="00C60FDB" w:rsidRDefault="003C1DDF" w:rsidP="002D03D1">
          <w:pPr>
            <w:rPr>
              <w:noProof/>
              <w:sz w:val="18"/>
              <w:szCs w:val="18"/>
            </w:rPr>
          </w:pPr>
        </w:p>
      </w:tc>
      <w:tc>
        <w:tcPr>
          <w:tcW w:w="2552" w:type="dxa"/>
        </w:tcPr>
        <w:p w14:paraId="064817B2" w14:textId="7AB5C783" w:rsidR="003C1DDF" w:rsidRPr="003C15E8" w:rsidRDefault="003C1DDF" w:rsidP="002D03D1">
          <w:pPr>
            <w:rPr>
              <w:b/>
              <w:noProof/>
              <w:sz w:val="18"/>
              <w:szCs w:val="18"/>
            </w:rPr>
          </w:pPr>
        </w:p>
      </w:tc>
      <w:sdt>
        <w:sdtPr>
          <w:rPr>
            <w:noProof/>
            <w:sz w:val="18"/>
            <w:szCs w:val="18"/>
          </w:rPr>
          <w:alias w:val="Kameleon"/>
          <w:tag w:val="dnumber"/>
          <w:id w:val="-1167557349"/>
          <w:placeholder>
            <w:docPart w:val="EE69153F54FB4715913E6E5B7865DB74"/>
          </w:placeholder>
          <w:dataBinding w:xpath="/ely_kameleon[1]/dnumber[1]" w:storeItemID="{C93CE740-65EE-47CA-9809-CA6CF4722AF7}"/>
          <w:text/>
        </w:sdtPr>
        <w:sdtEndPr/>
        <w:sdtContent>
          <w:tc>
            <w:tcPr>
              <w:tcW w:w="1303" w:type="dxa"/>
            </w:tcPr>
            <w:p w14:paraId="16C1C33C" w14:textId="77777777" w:rsidR="003C1DDF" w:rsidRPr="00C60FDB" w:rsidRDefault="003C1DDF" w:rsidP="002D03D1">
              <w:pPr>
                <w:rPr>
                  <w:noProof/>
                  <w:sz w:val="18"/>
                  <w:szCs w:val="18"/>
                </w:rPr>
              </w:pPr>
              <w:r>
                <w:rPr>
                  <w:sz w:val="18"/>
                </w:rPr>
                <w:t xml:space="preserve"> </w:t>
              </w:r>
            </w:p>
          </w:tc>
        </w:sdtContent>
      </w:sdt>
      <w:bookmarkStart w:id="3" w:name="dfieldpages_2"/>
      <w:bookmarkEnd w:id="3"/>
      <w:tc>
        <w:tcPr>
          <w:tcW w:w="1422" w:type="dxa"/>
        </w:tcPr>
        <w:p w14:paraId="226B97C9" w14:textId="01712956" w:rsidR="003C1DDF" w:rsidRPr="00C60FDB" w:rsidRDefault="003C1DDF" w:rsidP="002D03D1">
          <w:pPr>
            <w:rPr>
              <w:noProof/>
              <w:sz w:val="18"/>
              <w:szCs w:val="18"/>
            </w:rPr>
          </w:pPr>
          <w:r>
            <w:rPr>
              <w:sz w:val="18"/>
            </w:rPr>
            <w:fldChar w:fldCharType="begin"/>
          </w:r>
          <w:r>
            <w:rPr>
              <w:sz w:val="18"/>
            </w:rPr>
            <w:instrText xml:space="preserve"> PAGE  \* MERGEFORMAT </w:instrText>
          </w:r>
          <w:r>
            <w:rPr>
              <w:sz w:val="18"/>
            </w:rPr>
            <w:fldChar w:fldCharType="separate"/>
          </w:r>
          <w:r w:rsidR="00630989">
            <w:rPr>
              <w:noProof/>
              <w:sz w:val="18"/>
            </w:rPr>
            <w:t>12</w:t>
          </w:r>
          <w:r>
            <w:rPr>
              <w:sz w:val="18"/>
            </w:rPr>
            <w:fldChar w:fldCharType="end"/>
          </w:r>
          <w:r>
            <w:rPr>
              <w:sz w:val="18"/>
            </w:rPr>
            <w:t xml:space="preserve"> (</w:t>
          </w:r>
          <w:r>
            <w:rPr>
              <w:sz w:val="18"/>
            </w:rPr>
            <w:fldChar w:fldCharType="begin"/>
          </w:r>
          <w:r>
            <w:rPr>
              <w:sz w:val="18"/>
            </w:rPr>
            <w:instrText xml:space="preserve"> NUMPAGES  \* MERGEFORMAT </w:instrText>
          </w:r>
          <w:r>
            <w:rPr>
              <w:sz w:val="18"/>
            </w:rPr>
            <w:fldChar w:fldCharType="separate"/>
          </w:r>
          <w:r w:rsidR="00630989">
            <w:rPr>
              <w:noProof/>
              <w:sz w:val="18"/>
            </w:rPr>
            <w:t>15</w:t>
          </w:r>
          <w:r>
            <w:rPr>
              <w:sz w:val="18"/>
            </w:rPr>
            <w:fldChar w:fldCharType="end"/>
          </w:r>
          <w:r>
            <w:rPr>
              <w:sz w:val="18"/>
            </w:rPr>
            <w:t>)</w:t>
          </w:r>
        </w:p>
      </w:tc>
    </w:tr>
  </w:tbl>
  <w:p w14:paraId="35731AB0" w14:textId="77777777" w:rsidR="003C1DDF" w:rsidRPr="009D0998" w:rsidRDefault="003C1DDF" w:rsidP="009D0998">
    <w:pPr>
      <w:rPr>
        <w:noProof/>
      </w:rPr>
    </w:pPr>
  </w:p>
  <w:p w14:paraId="4BE331AB" w14:textId="77777777" w:rsidR="004A4FB2" w:rsidRDefault="004A4FB2" w:rsidP="003C1D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zHeaderTable"/>
      <w:tblW w:w="10490" w:type="dxa"/>
      <w:tblLayout w:type="fixed"/>
      <w:tblLook w:val="04A0" w:firstRow="1" w:lastRow="0" w:firstColumn="1" w:lastColumn="0" w:noHBand="0" w:noVBand="1"/>
    </w:tblPr>
    <w:tblGrid>
      <w:gridCol w:w="5213"/>
      <w:gridCol w:w="2552"/>
      <w:gridCol w:w="1303"/>
      <w:gridCol w:w="1422"/>
    </w:tblGrid>
    <w:tr w:rsidR="003C1DDF" w:rsidRPr="00CA45EC" w14:paraId="280CCC7A" w14:textId="77777777" w:rsidTr="003C1DDF">
      <w:trPr>
        <w:trHeight w:val="220"/>
      </w:trPr>
      <w:tc>
        <w:tcPr>
          <w:tcW w:w="5213" w:type="dxa"/>
        </w:tcPr>
        <w:p w14:paraId="1FE54053" w14:textId="4820074B" w:rsidR="003C1DDF" w:rsidRPr="00CA45EC" w:rsidRDefault="003C1DDF" w:rsidP="002D03D1">
          <w:pPr>
            <w:rPr>
              <w:noProof/>
              <w:sz w:val="18"/>
              <w:szCs w:val="18"/>
              <w:lang w:val="sv-SE"/>
            </w:rPr>
          </w:pPr>
        </w:p>
      </w:tc>
      <w:sdt>
        <w:sdtPr>
          <w:rPr>
            <w:b/>
            <w:noProof/>
            <w:sz w:val="18"/>
            <w:szCs w:val="18"/>
            <w:lang w:val="sv-SE"/>
          </w:rPr>
          <w:alias w:val="Kameleon"/>
          <w:tag w:val="dname"/>
          <w:id w:val="341048488"/>
          <w:placeholder>
            <w:docPart w:val="4500D7A255FA4E65A970417B91081EDB"/>
          </w:placeholder>
          <w:dataBinding w:xpath="/xml_kameleon[1]/Dokumenttityyppi[1]" w:storeItemID="{4213A872-0343-4268-9097-172CCEE11A8F}"/>
          <w:comboBox w:lastValue="Ohje">
            <w:listItem w:displayText="Initiativ" w:value="Aloite"/>
            <w:listItem w:displayText="Analys" w:value="Analyysi"/>
            <w:listItem w:displayText="Meritförteckning" w:value="Ansioluettelo"/>
            <w:listItem w:displayText="Bedömning" w:value="Arvio"/>
            <w:listItem w:displayText="Utvärdering" w:value="Arviointi"/>
            <w:listItem w:displayText="Beslut om tillsättande" w:value="Asettamispäätös"/>
            <w:listItem w:displayText="Förordning" w:value="Asetus"/>
            <w:listItem w:displayText="Dokumentmall" w:value="Asiakirjamalli"/>
            <w:listItem w:displayText="Föredragningslista" w:value="Asialista"/>
            <w:listItem w:displayText="Förslag" w:value="Ehdotus"/>
            <w:listItem w:displayText="Broschyr" w:value="Esite"/>
            <w:listItem w:displayText="Presentation" w:value="Esittely"/>
            <w:listItem w:displayText="Förslag" w:value="Esitys"/>
            <w:listItem w:displayText="Föredragningslista" w:value="Esityslista"/>
            <w:listItem w:displayText="Stämning" w:value="Haaste"/>
            <w:listItem w:displayText="Ansökan" w:value="Hakemus"/>
            <w:listItem w:displayText="Ansökan och anvisning" w:value="Hakemus ja ohje"/>
            <w:listItem w:displayText="Projektkort" w:value="Hankekortti"/>
            <w:listItem w:displayText="Prislista" w:value="Hinnasto"/>
            <w:listItem w:displayText="Anmärkning" w:value="Huomautus"/>
            <w:listItem w:displayText="Godkännande" w:value="Hyväksyminen"/>
            <w:listItem w:displayText="Meddelande" w:value="Ilmoitus"/>
            <w:listItem w:displayText="Efterbedömning" w:value="Jälkiarviointi"/>
            <w:listItem w:displayText="Ställningstagande" w:value="Kannanotto"/>
            <w:listItem w:displayText="Karta" w:value="Kartta"/>
            <w:listItem w:displayText="Utvecklingsförslag" w:value="Kehittämisehdotus"/>
            <w:listItem w:displayText="Brev" w:value="Kirje"/>
            <w:listItem w:displayText="Möteskallelse" w:value="Kokouskutsu"/>
            <w:listItem w:displayText="Ersättning" w:value="Korvaus"/>
            <w:listItem w:displayText="Begäran om kvittering" w:value="Kuittauspyyntö"/>
            <w:listItem w:displayText="Kvitto" w:value="Kuitti"/>
            <w:listItem w:displayText="Kostnadskalkyl" w:value="Kustannusarvio"/>
            <w:listItem w:displayText="Kallelse" w:value="Kutsu"/>
            <w:listItem w:displayText="Hörande" w:value="Kuuleminen"/>
            <w:listItem w:displayText="Kungörelse" w:value="Kuulutus"/>
            <w:listItem w:displayText="Beskrivning" w:value="Kuvaus"/>
            <w:listItem w:displayText="Beräkning" w:value="Laskelma"/>
            <w:listItem w:displayText="Faktura" w:value="Lasku"/>
            <w:listItem w:displayText="Utlåtande" w:value="Lausunto"/>
            <w:listItem w:displayText="Begäran om utlåtande" w:value="Lausuntopyyntö"/>
            <w:listItem w:displayText="Bilaga" w:value="Liite"/>
            <w:listItem w:displayText="Länk" w:value="Linkki"/>
            <w:listItem w:displayText="Lista" w:value="Lista"/>
            <w:listItem w:displayText="Blankett" w:value="Lomake"/>
            <w:listItem w:displayText="Slutrapport" w:value="Loppuraportti"/>
            <w:listItem w:displayText="Förteckning" w:value="Luettelo"/>
            <w:listItem w:displayText="Tillstånd" w:value="Lupa"/>
            <w:listItem w:displayText="Tillståndsvillkor" w:value="Lupaehdot"/>
            <w:listItem w:displayText="Remiss" w:value="Lähete"/>
            <w:listItem w:displayText="Promemoria" w:value="Muistio"/>
            <w:listItem w:displayText="Annan dokumenttyp" w:value="Muu dokumenttityyppi"/>
            <w:listItem w:displayText="Ändringsanmälan" w:value="Muutosilmoitus"/>
            <w:listItem w:displayText="Definition" w:value="Määrittely"/>
            <w:listItem w:displayText="Bestämning" w:value="Määritys"/>
            <w:listItem w:displayText="Benämning" w:value="Nimitys"/>
            <w:listItem w:displayText="Anvisningar" w:value="Ohje"/>
            <w:listItem w:displayText="Program" w:value="Ohjelma"/>
            <w:listItem w:displayText="Rättelseanvisning" w:value="Oikaisuohje"/>
            <w:listItem w:displayText="Rättelseanvisning och besvärsanvisning" w:value="Oikaisuohje ja valitusosoitus"/>
            <w:listItem w:displayText="Rättelsebeslut" w:value="Oikaisupäätös"/>
            <w:listItem w:displayText="Anvisning om hur man begär omprövning" w:value="Oikaisuvaatimusohje"/>
            <w:listItem w:displayText="Returbegäran" w:value="Palautuspyyntö"/>
            <w:listItem w:displayText="Promemoria" w:value="Perustelumuistio"/>
            <w:listItem w:displayText="Politik" w:value="Politiikka"/>
            <w:listItem w:displayText="Projektförslag" w:value="Projektiehdotus"/>
            <w:listItem w:displayText="Projektplan" w:value="Projektisuunnitelma"/>
            <w:listItem w:displayText="Processbeskrivning" w:value="Prosessikuvaus"/>
            <w:listItem w:displayText="Begäran" w:value="Pyyntö"/>
            <w:listItem w:displayText="Beslut" w:value="Päätös"/>
            <w:listItem w:displayText="Protokoll" w:value="Pöytäkirja"/>
            <w:listItem w:displayText="Rapport" w:value="Raportti"/>
            <w:listItem w:displayText="Lösning" w:value="Ratkaisu"/>
            <w:listItem w:displayText="Reklamation" w:value="Reklamaatio"/>
            <w:listItem w:displayText="Resursreservering" w:value="Resurssivaraus"/>
            <w:listItem w:displayText="Följebrev" w:value="Saate"/>
            <w:listItem w:displayText="Redogörelse" w:value="Selvitys"/>
            <w:listItem w:displayText="Begäran om utredning" w:value="Selvityspyyntö"/>
            <w:listItem w:displayText="Förbindelse" w:value="Sitoumus"/>
            <w:listItem w:displayText="Webbplats" w:value="Sivusto"/>
            <w:listItem w:displayText="Kontrakt" w:value="Sopimus"/>
            <w:listItem w:displayText="Strategi" w:value="Strategia"/>
            <w:listItem w:displayText="Plan" w:value="Suunnitelma"/>
            <w:listItem w:displayText="E-postmeddelande" w:value="Sähköpostiviesti"/>
            <w:listItem w:displayText="Anbud" w:value="Tarjous"/>
            <w:listItem w:displayText="Anbudsförfrågan" w:value="Tarjouspyyntö"/>
            <w:listItem w:displayText="Kontroll" w:value="Tarkastus"/>
            <w:listItem w:displayText="Uppgiftsbeskrivning" w:value="Tehtävänkuva"/>
            <w:listItem w:displayText="Meddelande" w:value="Tiedote"/>
            <w:listItem w:displayText="Datasystembeskrivning" w:value="Tietojärjestelmäseloste"/>
            <w:listItem w:displayText="Dataskyddsbeskrivning" w:value="Tietosuojaseloste"/>
            <w:listItem w:displayText="Beställning" w:value="Tilaus"/>
            <w:listItem w:displayText="Orderbekräftelse" w:value="Tilausvahvistus"/>
            <w:listItem w:displayText="Intyg" w:value="Todistus"/>
            <w:listItem w:displayText="Uppdrag" w:value="Toimeksianto"/>
            <w:listItem w:displayText="Verifikation" w:value="Tosite"/>
            <w:listItem w:displayText="OKÄND" w:value="TUNTEMATON"/>
            <w:listItem w:displayText="Begäran om undersökning" w:value="Tutkintapyyntö"/>
            <w:listItem w:displayText="Entreprenadprogram" w:value="Urakkaohjelma"/>
            <w:listItem w:displayText="Krav" w:value="Vaatimus"/>
            <w:listItem w:displayText="Besvär" w:value="Valitus"/>
            <w:listItem w:displayText="Besvärsanvisning" w:value="Valitusosoitus"/>
            <w:listItem w:displayText="Svar" w:value="Vastaus"/>
            <w:listItem w:displayText="Genmäle" w:value="Vastine"/>
          </w:comboBox>
        </w:sdtPr>
        <w:sdtEndPr/>
        <w:sdtContent>
          <w:tc>
            <w:tcPr>
              <w:tcW w:w="2552" w:type="dxa"/>
            </w:tcPr>
            <w:p w14:paraId="38E171F1" w14:textId="07F01373" w:rsidR="003C1DDF" w:rsidRPr="00CA45EC" w:rsidRDefault="00630989" w:rsidP="002D03D1">
              <w:pPr>
                <w:rPr>
                  <w:b/>
                  <w:noProof/>
                  <w:sz w:val="18"/>
                  <w:szCs w:val="18"/>
                  <w:lang w:val="sv-SE"/>
                </w:rPr>
              </w:pPr>
              <w:r w:rsidRPr="00CA45EC">
                <w:rPr>
                  <w:b/>
                  <w:noProof/>
                  <w:sz w:val="18"/>
                  <w:szCs w:val="18"/>
                  <w:lang w:val="sv-SE"/>
                </w:rPr>
                <w:t>Anvisningar</w:t>
              </w:r>
            </w:p>
          </w:tc>
        </w:sdtContent>
      </w:sdt>
      <w:sdt>
        <w:sdtPr>
          <w:rPr>
            <w:noProof/>
            <w:sz w:val="18"/>
            <w:szCs w:val="18"/>
            <w:lang w:val="sv-SE"/>
          </w:rPr>
          <w:alias w:val="Kameleon"/>
          <w:tag w:val="dnumber"/>
          <w:id w:val="873887672"/>
          <w:placeholder>
            <w:docPart w:val="D87A78F9CEA1463598E2AA1D2F252C47"/>
          </w:placeholder>
          <w:dataBinding w:xpath="/ely_kameleon[1]/dnumber[1]" w:storeItemID="{C93CE740-65EE-47CA-9809-CA6CF4722AF7}"/>
          <w:text/>
        </w:sdtPr>
        <w:sdtEndPr/>
        <w:sdtContent>
          <w:tc>
            <w:tcPr>
              <w:tcW w:w="1303" w:type="dxa"/>
            </w:tcPr>
            <w:p w14:paraId="3BDCF076" w14:textId="77777777" w:rsidR="003C1DDF" w:rsidRPr="00CA45EC" w:rsidRDefault="003C1DDF" w:rsidP="002D03D1">
              <w:pPr>
                <w:rPr>
                  <w:noProof/>
                  <w:sz w:val="18"/>
                  <w:szCs w:val="18"/>
                  <w:lang w:val="sv-SE"/>
                </w:rPr>
              </w:pPr>
              <w:r w:rsidRPr="00CA45EC">
                <w:rPr>
                  <w:sz w:val="18"/>
                  <w:lang w:val="sv-SE"/>
                </w:rPr>
                <w:t xml:space="preserve"> </w:t>
              </w:r>
            </w:p>
          </w:tc>
        </w:sdtContent>
      </w:sdt>
      <w:bookmarkStart w:id="4" w:name="dfieldpages"/>
      <w:bookmarkEnd w:id="4"/>
      <w:tc>
        <w:tcPr>
          <w:tcW w:w="1422" w:type="dxa"/>
        </w:tcPr>
        <w:p w14:paraId="2601A467" w14:textId="5DAD5D59" w:rsidR="003C1DDF" w:rsidRPr="00CA45EC" w:rsidRDefault="003C1DDF" w:rsidP="002D03D1">
          <w:pPr>
            <w:rPr>
              <w:noProof/>
              <w:sz w:val="18"/>
              <w:szCs w:val="18"/>
              <w:lang w:val="sv-SE"/>
            </w:rPr>
          </w:pPr>
          <w:r w:rsidRPr="00CA45EC">
            <w:rPr>
              <w:sz w:val="18"/>
              <w:lang w:val="sv-SE"/>
            </w:rPr>
            <w:fldChar w:fldCharType="begin"/>
          </w:r>
          <w:r w:rsidRPr="00CA45EC">
            <w:rPr>
              <w:sz w:val="18"/>
              <w:lang w:val="sv-SE"/>
            </w:rPr>
            <w:instrText xml:space="preserve"> PAGE  \* MERGEFORMAT </w:instrText>
          </w:r>
          <w:r w:rsidRPr="00CA45EC">
            <w:rPr>
              <w:sz w:val="18"/>
              <w:lang w:val="sv-SE"/>
            </w:rPr>
            <w:fldChar w:fldCharType="separate"/>
          </w:r>
          <w:r w:rsidR="00630989" w:rsidRPr="00CA45EC">
            <w:rPr>
              <w:noProof/>
              <w:sz w:val="18"/>
              <w:lang w:val="sv-SE"/>
            </w:rPr>
            <w:t>1</w:t>
          </w:r>
          <w:r w:rsidRPr="00CA45EC">
            <w:rPr>
              <w:sz w:val="18"/>
              <w:lang w:val="sv-SE"/>
            </w:rPr>
            <w:fldChar w:fldCharType="end"/>
          </w:r>
          <w:r w:rsidRPr="00CA45EC">
            <w:rPr>
              <w:sz w:val="18"/>
              <w:lang w:val="sv-SE"/>
            </w:rPr>
            <w:t xml:space="preserve"> (</w:t>
          </w:r>
          <w:r w:rsidRPr="00CA45EC">
            <w:rPr>
              <w:sz w:val="18"/>
              <w:lang w:val="sv-SE"/>
            </w:rPr>
            <w:fldChar w:fldCharType="begin"/>
          </w:r>
          <w:r w:rsidRPr="00CA45EC">
            <w:rPr>
              <w:sz w:val="18"/>
              <w:lang w:val="sv-SE"/>
            </w:rPr>
            <w:instrText xml:space="preserve"> NUMPAGES  \* MERGEFORMAT </w:instrText>
          </w:r>
          <w:r w:rsidRPr="00CA45EC">
            <w:rPr>
              <w:sz w:val="18"/>
              <w:lang w:val="sv-SE"/>
            </w:rPr>
            <w:fldChar w:fldCharType="separate"/>
          </w:r>
          <w:r w:rsidR="00630989" w:rsidRPr="00CA45EC">
            <w:rPr>
              <w:noProof/>
              <w:sz w:val="18"/>
              <w:lang w:val="sv-SE"/>
            </w:rPr>
            <w:t>15</w:t>
          </w:r>
          <w:r w:rsidRPr="00CA45EC">
            <w:rPr>
              <w:sz w:val="18"/>
              <w:lang w:val="sv-SE"/>
            </w:rPr>
            <w:fldChar w:fldCharType="end"/>
          </w:r>
          <w:r w:rsidRPr="00CA45EC">
            <w:rPr>
              <w:sz w:val="18"/>
              <w:lang w:val="sv-SE"/>
            </w:rPr>
            <w:t>)</w:t>
          </w:r>
        </w:p>
      </w:tc>
    </w:tr>
    <w:tr w:rsidR="003C1DDF" w:rsidRPr="00CA45EC" w14:paraId="2C5E0CED" w14:textId="77777777" w:rsidTr="001731D4">
      <w:trPr>
        <w:trHeight w:val="496"/>
      </w:trPr>
      <w:tc>
        <w:tcPr>
          <w:tcW w:w="5213" w:type="dxa"/>
        </w:tcPr>
        <w:p w14:paraId="0E0D1B9F" w14:textId="20CC3AA1" w:rsidR="003C1DDF" w:rsidRPr="00CA45EC" w:rsidRDefault="003C1DDF" w:rsidP="002D03D1">
          <w:pPr>
            <w:rPr>
              <w:noProof/>
              <w:sz w:val="18"/>
              <w:szCs w:val="18"/>
              <w:lang w:val="sv-SE"/>
            </w:rPr>
          </w:pPr>
        </w:p>
      </w:tc>
      <w:sdt>
        <w:sdtPr>
          <w:rPr>
            <w:noProof/>
            <w:sz w:val="18"/>
            <w:szCs w:val="18"/>
            <w:lang w:val="sv-SE"/>
          </w:rPr>
          <w:alias w:val="Kameleon"/>
          <w:tag w:val="dclass"/>
          <w:id w:val="654034445"/>
          <w:placeholder>
            <w:docPart w:val="FF18B376FE6A4E63BEC641325FA601AC"/>
          </w:placeholder>
          <w:showingPlcHdr/>
          <w:dataBinding w:xpath="/xml_kameleon[1]/Dokumentin_x0020_tila[1]" w:storeItemID="{4213A872-0343-4268-9097-172CCEE11A8F}"/>
          <w:comboBox w:lastValue="">
            <w:listItem w:displayText="Undertecknad" w:value="Allekirjoitettu"/>
            <w:listItem w:displayText="Arkiverad" w:value="Arkistoitu"/>
            <w:listItem w:displayText="Godkänd" w:value="Hyväksytty"/>
            <w:listItem w:displayText="Granskas" w:value="Katselmoitavana"/>
            <w:listItem w:displayText="Kommenteras" w:value="Kommentoitavana"/>
            <w:listItem w:displayText="På remiss" w:value="Lausunnolla"/>
            <w:listItem w:displayText="Utkast" w:value="Luonnos"/>
            <w:listItem w:displayText="Färdig" w:value="Valmis"/>
          </w:comboBox>
        </w:sdtPr>
        <w:sdtEndPr/>
        <w:sdtContent>
          <w:tc>
            <w:tcPr>
              <w:tcW w:w="2552" w:type="dxa"/>
            </w:tcPr>
            <w:p w14:paraId="27E95830" w14:textId="77777777" w:rsidR="003C1DDF" w:rsidRPr="00CA45EC" w:rsidRDefault="003C1DDF" w:rsidP="002D03D1">
              <w:pPr>
                <w:rPr>
                  <w:noProof/>
                  <w:sz w:val="18"/>
                  <w:szCs w:val="18"/>
                  <w:lang w:val="sv-SE"/>
                </w:rPr>
              </w:pPr>
              <w:r w:rsidRPr="00CA45EC">
                <w:rPr>
                  <w:rStyle w:val="Paikkamerkkiteksti"/>
                  <w:lang w:val="sv-SE"/>
                </w:rPr>
                <w:t xml:space="preserve"> </w:t>
              </w:r>
            </w:p>
          </w:tc>
        </w:sdtContent>
      </w:sdt>
      <w:sdt>
        <w:sdtPr>
          <w:rPr>
            <w:noProof/>
            <w:sz w:val="18"/>
            <w:szCs w:val="18"/>
            <w:lang w:val="sv-SE"/>
          </w:rPr>
          <w:alias w:val="Kameleon"/>
          <w:tag w:val="dencl"/>
          <w:id w:val="1264273871"/>
          <w:placeholder>
            <w:docPart w:val="8859DDF34DE342618CF38AFF5FF1A204"/>
          </w:placeholder>
          <w:dataBinding w:xpath="/ely_kameleon[1]/dencl[1]" w:storeItemID="{C93CE740-65EE-47CA-9809-CA6CF4722AF7}"/>
          <w:text/>
        </w:sdtPr>
        <w:sdtEndPr/>
        <w:sdtContent>
          <w:tc>
            <w:tcPr>
              <w:tcW w:w="2725" w:type="dxa"/>
              <w:gridSpan w:val="2"/>
            </w:tcPr>
            <w:p w14:paraId="3DE8F078" w14:textId="77777777" w:rsidR="003C1DDF" w:rsidRPr="00CA45EC" w:rsidRDefault="003C1DDF" w:rsidP="002D03D1">
              <w:pPr>
                <w:rPr>
                  <w:noProof/>
                  <w:sz w:val="18"/>
                  <w:szCs w:val="18"/>
                  <w:lang w:val="sv-SE"/>
                </w:rPr>
              </w:pPr>
              <w:r w:rsidRPr="00CA45EC">
                <w:rPr>
                  <w:sz w:val="18"/>
                  <w:lang w:val="sv-SE"/>
                </w:rPr>
                <w:t xml:space="preserve"> </w:t>
              </w:r>
            </w:p>
          </w:tc>
        </w:sdtContent>
      </w:sdt>
    </w:tr>
  </w:tbl>
  <w:p w14:paraId="3321C36B" w14:textId="55F1EB82" w:rsidR="003C1DDF" w:rsidRPr="00CA45EC" w:rsidRDefault="001731D4" w:rsidP="00CE04B7">
    <w:pPr>
      <w:rPr>
        <w:noProof/>
        <w:sz w:val="18"/>
        <w:szCs w:val="18"/>
        <w:lang w:val="sv-SE"/>
      </w:rPr>
    </w:pPr>
    <w:r w:rsidRPr="00CA45EC">
      <w:rPr>
        <w:noProof/>
        <w:sz w:val="18"/>
        <w:lang w:val="sv-SE" w:eastAsia="fi-FI" w:bidi="bn-IN"/>
      </w:rPr>
      <w:drawing>
        <wp:anchor distT="0" distB="0" distL="114300" distR="114300" simplePos="0" relativeHeight="251658239" behindDoc="0" locked="0" layoutInCell="1" allowOverlap="1" wp14:anchorId="03021924" wp14:editId="20B2A7CA">
          <wp:simplePos x="0" y="0"/>
          <wp:positionH relativeFrom="column">
            <wp:posOffset>-137160</wp:posOffset>
          </wp:positionH>
          <wp:positionV relativeFrom="page">
            <wp:posOffset>160020</wp:posOffset>
          </wp:positionV>
          <wp:extent cx="2834640" cy="103505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2834640" cy="1035050"/>
                  </a:xfrm>
                  <a:prstGeom prst="rect">
                    <a:avLst/>
                  </a:prstGeom>
                </pic:spPr>
              </pic:pic>
            </a:graphicData>
          </a:graphic>
          <wp14:sizeRelH relativeFrom="margin">
            <wp14:pctWidth>0</wp14:pctWidth>
          </wp14:sizeRelH>
          <wp14:sizeRelV relativeFrom="margin">
            <wp14:pctHeight>0</wp14:pctHeight>
          </wp14:sizeRelV>
        </wp:anchor>
      </w:drawing>
    </w:r>
  </w:p>
  <w:p w14:paraId="5B1F1B79" w14:textId="77777777" w:rsidR="004A4FB2" w:rsidRPr="00CA45EC" w:rsidRDefault="004A4FB2" w:rsidP="003C1DDF">
    <w:pP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260B93"/>
    <w:multiLevelType w:val="singleLevel"/>
    <w:tmpl w:val="DF80C9E6"/>
    <w:lvl w:ilvl="0">
      <w:start w:val="1"/>
      <w:numFmt w:val="bullet"/>
      <w:pStyle w:val="Viiva1"/>
      <w:lvlText w:val="-"/>
      <w:lvlJc w:val="left"/>
      <w:pPr>
        <w:tabs>
          <w:tab w:val="num" w:pos="1661"/>
        </w:tabs>
        <w:ind w:left="1661" w:hanging="357"/>
      </w:pPr>
      <w:rPr>
        <w:rFonts w:ascii="Arial" w:hAnsi="Arial" w:cs="Arial" w:hint="default"/>
      </w:rPr>
    </w:lvl>
  </w:abstractNum>
  <w:abstractNum w:abstractNumId="11" w15:restartNumberingAfterBreak="0">
    <w:nsid w:val="12783EE4"/>
    <w:multiLevelType w:val="hybridMultilevel"/>
    <w:tmpl w:val="F7E4777C"/>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18D270FE"/>
    <w:multiLevelType w:val="singleLevel"/>
    <w:tmpl w:val="0A7A5916"/>
    <w:lvl w:ilvl="0">
      <w:start w:val="1"/>
      <w:numFmt w:val="lowerLetter"/>
      <w:lvlRestart w:val="0"/>
      <w:pStyle w:val="Abc1"/>
      <w:lvlText w:val="%1)"/>
      <w:lvlJc w:val="left"/>
      <w:pPr>
        <w:tabs>
          <w:tab w:val="num" w:pos="1661"/>
        </w:tabs>
        <w:ind w:left="1661" w:hanging="357"/>
      </w:pPr>
      <w:rPr>
        <w:rFonts w:hint="default"/>
        <w:i w:val="0"/>
        <w:iCs/>
      </w:rPr>
    </w:lvl>
  </w:abstractNum>
  <w:abstractNum w:abstractNumId="13"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6"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17"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18" w15:restartNumberingAfterBreak="0">
    <w:nsid w:val="42661229"/>
    <w:multiLevelType w:val="hybridMultilevel"/>
    <w:tmpl w:val="BFD62852"/>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476C4342"/>
    <w:multiLevelType w:val="hybridMultilevel"/>
    <w:tmpl w:val="1C7E97D8"/>
    <w:lvl w:ilvl="0" w:tplc="42FC3014">
      <w:start w:val="1"/>
      <w:numFmt w:val="bullet"/>
      <w:lvlText w:val=""/>
      <w:lvlJc w:val="left"/>
      <w:pPr>
        <w:ind w:left="2384" w:hanging="360"/>
      </w:pPr>
      <w:rPr>
        <w:rFonts w:ascii="Symbol" w:hAnsi="Symbol" w:hint="default"/>
      </w:rPr>
    </w:lvl>
    <w:lvl w:ilvl="1" w:tplc="42FC3014">
      <w:start w:val="1"/>
      <w:numFmt w:val="bullet"/>
      <w:lvlText w:val=""/>
      <w:lvlJc w:val="left"/>
      <w:pPr>
        <w:ind w:left="3104" w:hanging="360"/>
      </w:pPr>
      <w:rPr>
        <w:rFonts w:ascii="Symbol" w:hAnsi="Symbol"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0" w15:restartNumberingAfterBreak="0">
    <w:nsid w:val="4DD93DEB"/>
    <w:multiLevelType w:val="hybridMultilevel"/>
    <w:tmpl w:val="AA725128"/>
    <w:lvl w:ilvl="0" w:tplc="C6BEF250">
      <w:start w:val="1"/>
      <w:numFmt w:val="lowerRoman"/>
      <w:lvlText w:val="(%1)"/>
      <w:lvlJc w:val="left"/>
      <w:pPr>
        <w:ind w:left="1080" w:hanging="72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FA3A43"/>
    <w:multiLevelType w:val="hybridMultilevel"/>
    <w:tmpl w:val="A7C00B0C"/>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1306D5C"/>
    <w:multiLevelType w:val="hybridMultilevel"/>
    <w:tmpl w:val="7A26875A"/>
    <w:lvl w:ilvl="0" w:tplc="42FC3014">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032F91"/>
    <w:multiLevelType w:val="singleLevel"/>
    <w:tmpl w:val="26EC9F6C"/>
    <w:lvl w:ilvl="0">
      <w:start w:val="1"/>
      <w:numFmt w:val="bullet"/>
      <w:pStyle w:val="Viiva2"/>
      <w:lvlText w:val="-"/>
      <w:lvlJc w:val="left"/>
      <w:pPr>
        <w:tabs>
          <w:tab w:val="num" w:pos="2965"/>
        </w:tabs>
        <w:ind w:left="2965" w:hanging="357"/>
      </w:pPr>
      <w:rPr>
        <w:rFonts w:ascii="Arial" w:hAnsi="Arial" w:cs="Arial" w:hint="default"/>
      </w:rPr>
    </w:lvl>
  </w:abstractNum>
  <w:abstractNum w:abstractNumId="26" w15:restartNumberingAfterBreak="0">
    <w:nsid w:val="60B30E23"/>
    <w:multiLevelType w:val="singleLevel"/>
    <w:tmpl w:val="B29EDCBC"/>
    <w:lvl w:ilvl="0">
      <w:start w:val="1"/>
      <w:numFmt w:val="decimal"/>
      <w:pStyle w:val="Numeroitu"/>
      <w:lvlText w:val="%1"/>
      <w:lvlJc w:val="left"/>
      <w:pPr>
        <w:tabs>
          <w:tab w:val="num" w:pos="357"/>
        </w:tabs>
        <w:ind w:left="357" w:hanging="357"/>
      </w:pPr>
    </w:lvl>
  </w:abstractNum>
  <w:abstractNum w:abstractNumId="27" w15:restartNumberingAfterBreak="0">
    <w:nsid w:val="636A1B6E"/>
    <w:multiLevelType w:val="singleLevel"/>
    <w:tmpl w:val="2FF4F448"/>
    <w:lvl w:ilvl="0">
      <w:start w:val="1"/>
      <w:numFmt w:val="decimal"/>
      <w:lvlRestart w:val="0"/>
      <w:pStyle w:val="Numeroitu1"/>
      <w:lvlText w:val="%1"/>
      <w:lvlJc w:val="left"/>
      <w:pPr>
        <w:tabs>
          <w:tab w:val="num" w:pos="1661"/>
        </w:tabs>
        <w:ind w:left="1661" w:hanging="357"/>
      </w:pPr>
    </w:lvl>
  </w:abstractNum>
  <w:abstractNum w:abstractNumId="28"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29" w15:restartNumberingAfterBreak="0">
    <w:nsid w:val="65D85955"/>
    <w:multiLevelType w:val="hybridMultilevel"/>
    <w:tmpl w:val="7D2C8A2C"/>
    <w:lvl w:ilvl="0" w:tplc="89A28EA8">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0"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1"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2"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3791641">
    <w:abstractNumId w:val="14"/>
  </w:num>
  <w:num w:numId="2" w16cid:durableId="621881576">
    <w:abstractNumId w:val="32"/>
  </w:num>
  <w:num w:numId="3" w16cid:durableId="1312053361">
    <w:abstractNumId w:val="24"/>
  </w:num>
  <w:num w:numId="4" w16cid:durableId="1329333623">
    <w:abstractNumId w:val="9"/>
  </w:num>
  <w:num w:numId="5" w16cid:durableId="328607128">
    <w:abstractNumId w:val="7"/>
  </w:num>
  <w:num w:numId="6" w16cid:durableId="146364631">
    <w:abstractNumId w:val="6"/>
  </w:num>
  <w:num w:numId="7" w16cid:durableId="2126462479">
    <w:abstractNumId w:val="5"/>
  </w:num>
  <w:num w:numId="8" w16cid:durableId="1002273823">
    <w:abstractNumId w:val="4"/>
  </w:num>
  <w:num w:numId="9" w16cid:durableId="1800951381">
    <w:abstractNumId w:val="8"/>
  </w:num>
  <w:num w:numId="10" w16cid:durableId="224031294">
    <w:abstractNumId w:val="3"/>
  </w:num>
  <w:num w:numId="11" w16cid:durableId="2040666579">
    <w:abstractNumId w:val="2"/>
  </w:num>
  <w:num w:numId="12" w16cid:durableId="1122767331">
    <w:abstractNumId w:val="1"/>
  </w:num>
  <w:num w:numId="13" w16cid:durableId="1860846649">
    <w:abstractNumId w:val="0"/>
  </w:num>
  <w:num w:numId="14" w16cid:durableId="1690833379">
    <w:abstractNumId w:val="17"/>
  </w:num>
  <w:num w:numId="15" w16cid:durableId="270163990">
    <w:abstractNumId w:val="12"/>
  </w:num>
  <w:num w:numId="16" w16cid:durableId="60293841">
    <w:abstractNumId w:val="16"/>
  </w:num>
  <w:num w:numId="17" w16cid:durableId="1064915804">
    <w:abstractNumId w:val="26"/>
  </w:num>
  <w:num w:numId="18" w16cid:durableId="2007631018">
    <w:abstractNumId w:val="27"/>
  </w:num>
  <w:num w:numId="19" w16cid:durableId="99761138">
    <w:abstractNumId w:val="28"/>
  </w:num>
  <w:num w:numId="20" w16cid:durableId="854074587">
    <w:abstractNumId w:val="31"/>
  </w:num>
  <w:num w:numId="21" w16cid:durableId="2000232618">
    <w:abstractNumId w:val="10"/>
  </w:num>
  <w:num w:numId="22" w16cid:durableId="1417509813">
    <w:abstractNumId w:val="25"/>
  </w:num>
  <w:num w:numId="23" w16cid:durableId="143668975">
    <w:abstractNumId w:val="15"/>
  </w:num>
  <w:num w:numId="24" w16cid:durableId="575437717">
    <w:abstractNumId w:val="23"/>
  </w:num>
  <w:num w:numId="25" w16cid:durableId="1568757568">
    <w:abstractNumId w:val="30"/>
  </w:num>
  <w:num w:numId="26" w16cid:durableId="474639191">
    <w:abstractNumId w:val="13"/>
  </w:num>
  <w:num w:numId="27" w16cid:durableId="65954616">
    <w:abstractNumId w:val="10"/>
    <w:lvlOverride w:ilvl="0">
      <w:startOverride w:val="1"/>
    </w:lvlOverride>
  </w:num>
  <w:num w:numId="28" w16cid:durableId="1454711547">
    <w:abstractNumId w:val="10"/>
    <w:lvlOverride w:ilvl="0">
      <w:startOverride w:val="1"/>
    </w:lvlOverride>
  </w:num>
  <w:num w:numId="29" w16cid:durableId="1996640532">
    <w:abstractNumId w:val="10"/>
    <w:lvlOverride w:ilvl="0">
      <w:startOverride w:val="1"/>
    </w:lvlOverride>
  </w:num>
  <w:num w:numId="30" w16cid:durableId="1846481861">
    <w:abstractNumId w:val="10"/>
    <w:lvlOverride w:ilvl="0">
      <w:startOverride w:val="1"/>
    </w:lvlOverride>
  </w:num>
  <w:num w:numId="31" w16cid:durableId="1116874740">
    <w:abstractNumId w:val="10"/>
    <w:lvlOverride w:ilvl="0">
      <w:startOverride w:val="1"/>
    </w:lvlOverride>
  </w:num>
  <w:num w:numId="32" w16cid:durableId="2019505461">
    <w:abstractNumId w:val="10"/>
    <w:lvlOverride w:ilvl="0">
      <w:startOverride w:val="1"/>
    </w:lvlOverride>
  </w:num>
  <w:num w:numId="33" w16cid:durableId="1184250922">
    <w:abstractNumId w:val="25"/>
    <w:lvlOverride w:ilvl="0">
      <w:startOverride w:val="1"/>
    </w:lvlOverride>
  </w:num>
  <w:num w:numId="34" w16cid:durableId="317080989">
    <w:abstractNumId w:val="25"/>
    <w:lvlOverride w:ilvl="0">
      <w:startOverride w:val="1"/>
    </w:lvlOverride>
  </w:num>
  <w:num w:numId="35" w16cid:durableId="16663954">
    <w:abstractNumId w:val="25"/>
    <w:lvlOverride w:ilvl="0">
      <w:startOverride w:val="1"/>
    </w:lvlOverride>
  </w:num>
  <w:num w:numId="36" w16cid:durableId="1205292061">
    <w:abstractNumId w:val="12"/>
    <w:lvlOverride w:ilvl="0">
      <w:startOverride w:val="1"/>
    </w:lvlOverride>
  </w:num>
  <w:num w:numId="37" w16cid:durableId="1119445998">
    <w:abstractNumId w:val="18"/>
  </w:num>
  <w:num w:numId="38" w16cid:durableId="1844975948">
    <w:abstractNumId w:val="22"/>
  </w:num>
  <w:num w:numId="39" w16cid:durableId="1523471696">
    <w:abstractNumId w:val="19"/>
  </w:num>
  <w:num w:numId="40" w16cid:durableId="415371366">
    <w:abstractNumId w:val="11"/>
  </w:num>
  <w:num w:numId="41" w16cid:durableId="584339893">
    <w:abstractNumId w:val="21"/>
  </w:num>
  <w:num w:numId="42" w16cid:durableId="390471863">
    <w:abstractNumId w:val="10"/>
    <w:lvlOverride w:ilvl="0">
      <w:startOverride w:val="1"/>
    </w:lvlOverride>
  </w:num>
  <w:num w:numId="43" w16cid:durableId="1185245830">
    <w:abstractNumId w:val="10"/>
    <w:lvlOverride w:ilvl="0">
      <w:startOverride w:val="1"/>
    </w:lvlOverride>
  </w:num>
  <w:num w:numId="44" w16cid:durableId="1392118065">
    <w:abstractNumId w:val="10"/>
    <w:lvlOverride w:ilvl="0">
      <w:startOverride w:val="1"/>
    </w:lvlOverride>
  </w:num>
  <w:num w:numId="45" w16cid:durableId="721439050">
    <w:abstractNumId w:val="10"/>
    <w:lvlOverride w:ilvl="0">
      <w:startOverride w:val="1"/>
    </w:lvlOverride>
  </w:num>
  <w:num w:numId="46" w16cid:durableId="1670711057">
    <w:abstractNumId w:val="29"/>
  </w:num>
  <w:num w:numId="47" w16cid:durableId="17003495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lwaysSignature" w:val="0"/>
    <w:docVar w:name="dvAutotext" w:val="DefaultLetter"/>
    <w:docVar w:name="dvAutotextTemplate" w:val="kct_default.dotx"/>
    <w:docVar w:name="dvBookmarksAround" w:val="False"/>
    <w:docVar w:name="dvCategory" w:val="165"/>
    <w:docVar w:name="dvCategory_2" w:val="25"/>
    <w:docVar w:name="dvChangeDate" w:val="11.3.2011"/>
    <w:docVar w:name="dvCompany" w:val="ELY ESA"/>
    <w:docVar w:name="dvContentFile" w:val="dd_default.xml"/>
    <w:docVar w:name="dvCopyHeader" w:val="0"/>
    <w:docVar w:name="dvcurrentaddressaltext" w:val="Etelä-Savon elinkeino-, liikenne- ja ympäristökeskuksen yhteystiedot"/>
    <w:docVar w:name="dvcurrentaddressaltexttitle" w:val="Yhteystiedot"/>
    <w:docVar w:name="dvcurrentaddresslayout" w:val="defaultaddress"/>
    <w:docVar w:name="dvcurrentaddresslayouttemplate" w:val="kat_address.dotx"/>
    <w:docVar w:name="dvcurrentlogo" w:val="elyfi"/>
    <w:docVar w:name="dvcurrentlogoalternativetext" w:val="Logo, Elinkeino-, liikenne- ja ympäristökeskus"/>
    <w:docVar w:name="dvcurrentlogopath" w:val="klo_logo.dotx"/>
    <w:docVar w:name="dvDefaultOneSignature" w:val="0"/>
    <w:docVar w:name="dvDefinition" w:val="55 (dd_default.xml)"/>
    <w:docVar w:name="dvDefinitionID" w:val="55"/>
    <w:docVar w:name="dvDefinitionVersion" w:val="02.001 / 1.12.2015"/>
    <w:docVar w:name="dvDigitalSignature" w:val="0"/>
    <w:docVar w:name="dvDigitalSignatureDefault" w:val="0"/>
    <w:docVar w:name="dvDisplayname" w:val="Yleinen asiakirja tai kirje (vastaanottajatiedoilla)"/>
    <w:docVar w:name="dvDocumentType" w:val="GENERAL"/>
    <w:docVar w:name="dvDynamicFieldsControlName" w:val="mControls"/>
    <w:docVar w:name="dvEnableVismaSignature" w:val="0"/>
    <w:docVar w:name="dvGlobalVerID" w:val="460.99.07.255"/>
    <w:docVar w:name="dvKameleonVerID" w:val="460.11.08.001"/>
    <w:docVar w:name="dvLanguage" w:val="1035"/>
    <w:docVar w:name="dvMarkVersion" w:val="0"/>
    <w:docVar w:name="dvMultiPageControlName" w:val="pDocument"/>
    <w:docVar w:name="dvNumbering" w:val="0"/>
    <w:docVar w:name="dvSaavutettavuusVari" w:val="1"/>
    <w:docVar w:name="dvSecurityGroupFields" w:val="1"/>
    <w:docVar w:name="dvSignature" w:val="1"/>
    <w:docVar w:name="dvSignatureTblIndent" w:val="130,4"/>
    <w:docVar w:name="dvSite" w:val="Mikkeli"/>
    <w:docVar w:name="dvTemplate" w:val="klt_general.dotx"/>
    <w:docVar w:name="dvunitid" w:val="711"/>
    <w:docVar w:name="dvUsed" w:val="1"/>
  </w:docVars>
  <w:rsids>
    <w:rsidRoot w:val="003C1DDF"/>
    <w:rsid w:val="0000369F"/>
    <w:rsid w:val="00012E5D"/>
    <w:rsid w:val="00017468"/>
    <w:rsid w:val="00025051"/>
    <w:rsid w:val="000338FB"/>
    <w:rsid w:val="000365ED"/>
    <w:rsid w:val="00042441"/>
    <w:rsid w:val="000430B4"/>
    <w:rsid w:val="000465D6"/>
    <w:rsid w:val="0005163C"/>
    <w:rsid w:val="00060C8E"/>
    <w:rsid w:val="0006266C"/>
    <w:rsid w:val="000652F4"/>
    <w:rsid w:val="00081A2E"/>
    <w:rsid w:val="000A0B7F"/>
    <w:rsid w:val="000A1AC7"/>
    <w:rsid w:val="000A20F0"/>
    <w:rsid w:val="000A4C53"/>
    <w:rsid w:val="000B693C"/>
    <w:rsid w:val="000D242A"/>
    <w:rsid w:val="000E3749"/>
    <w:rsid w:val="000E5871"/>
    <w:rsid w:val="000E5C2D"/>
    <w:rsid w:val="000F5DD2"/>
    <w:rsid w:val="00105935"/>
    <w:rsid w:val="001149E8"/>
    <w:rsid w:val="00115C81"/>
    <w:rsid w:val="0012252C"/>
    <w:rsid w:val="00130178"/>
    <w:rsid w:val="00167E40"/>
    <w:rsid w:val="001731D4"/>
    <w:rsid w:val="0017327F"/>
    <w:rsid w:val="001862C8"/>
    <w:rsid w:val="001879DB"/>
    <w:rsid w:val="00187CEB"/>
    <w:rsid w:val="001956C2"/>
    <w:rsid w:val="001A277A"/>
    <w:rsid w:val="001A297B"/>
    <w:rsid w:val="001B7742"/>
    <w:rsid w:val="001D24BF"/>
    <w:rsid w:val="001D3008"/>
    <w:rsid w:val="001E42F1"/>
    <w:rsid w:val="00223694"/>
    <w:rsid w:val="002420B4"/>
    <w:rsid w:val="00244464"/>
    <w:rsid w:val="00244CA4"/>
    <w:rsid w:val="00266624"/>
    <w:rsid w:val="00267131"/>
    <w:rsid w:val="00274F9D"/>
    <w:rsid w:val="00275879"/>
    <w:rsid w:val="0027733F"/>
    <w:rsid w:val="002A4233"/>
    <w:rsid w:val="002D33C7"/>
    <w:rsid w:val="002D687C"/>
    <w:rsid w:val="002F63B0"/>
    <w:rsid w:val="002F775C"/>
    <w:rsid w:val="00306218"/>
    <w:rsid w:val="00350C9D"/>
    <w:rsid w:val="00354611"/>
    <w:rsid w:val="003613FF"/>
    <w:rsid w:val="003643C4"/>
    <w:rsid w:val="00371754"/>
    <w:rsid w:val="00382CD9"/>
    <w:rsid w:val="003C15E8"/>
    <w:rsid w:val="003C1DDF"/>
    <w:rsid w:val="003D7069"/>
    <w:rsid w:val="003F3D26"/>
    <w:rsid w:val="00402CE3"/>
    <w:rsid w:val="00404700"/>
    <w:rsid w:val="004065FC"/>
    <w:rsid w:val="00410982"/>
    <w:rsid w:val="00416583"/>
    <w:rsid w:val="00424AE3"/>
    <w:rsid w:val="00433070"/>
    <w:rsid w:val="0043310C"/>
    <w:rsid w:val="00434376"/>
    <w:rsid w:val="00436017"/>
    <w:rsid w:val="004362F9"/>
    <w:rsid w:val="0045264B"/>
    <w:rsid w:val="00477DAD"/>
    <w:rsid w:val="004907A3"/>
    <w:rsid w:val="00494399"/>
    <w:rsid w:val="004948B8"/>
    <w:rsid w:val="004A08D8"/>
    <w:rsid w:val="004A0DCE"/>
    <w:rsid w:val="004A3719"/>
    <w:rsid w:val="004A4FB2"/>
    <w:rsid w:val="004B05E9"/>
    <w:rsid w:val="004E093E"/>
    <w:rsid w:val="00504B08"/>
    <w:rsid w:val="00512E51"/>
    <w:rsid w:val="005207DA"/>
    <w:rsid w:val="00527F54"/>
    <w:rsid w:val="00530E2E"/>
    <w:rsid w:val="00535DBD"/>
    <w:rsid w:val="0054140C"/>
    <w:rsid w:val="00557499"/>
    <w:rsid w:val="00557D4B"/>
    <w:rsid w:val="00563F8F"/>
    <w:rsid w:val="00570522"/>
    <w:rsid w:val="00571A3C"/>
    <w:rsid w:val="00571E7B"/>
    <w:rsid w:val="005736BF"/>
    <w:rsid w:val="005A1874"/>
    <w:rsid w:val="005A354C"/>
    <w:rsid w:val="005C2B9D"/>
    <w:rsid w:val="005C6BB3"/>
    <w:rsid w:val="005D791D"/>
    <w:rsid w:val="005E4839"/>
    <w:rsid w:val="005F00B2"/>
    <w:rsid w:val="005F4355"/>
    <w:rsid w:val="005F67C5"/>
    <w:rsid w:val="005F6FBD"/>
    <w:rsid w:val="00603E8B"/>
    <w:rsid w:val="006225CA"/>
    <w:rsid w:val="00630989"/>
    <w:rsid w:val="006402BA"/>
    <w:rsid w:val="00654F46"/>
    <w:rsid w:val="00676514"/>
    <w:rsid w:val="006904DB"/>
    <w:rsid w:val="006961C7"/>
    <w:rsid w:val="006A4CF0"/>
    <w:rsid w:val="006B1DC5"/>
    <w:rsid w:val="006C035B"/>
    <w:rsid w:val="006C66FF"/>
    <w:rsid w:val="006D54DF"/>
    <w:rsid w:val="006E2718"/>
    <w:rsid w:val="006E6E6D"/>
    <w:rsid w:val="006F0A60"/>
    <w:rsid w:val="007037EC"/>
    <w:rsid w:val="00707001"/>
    <w:rsid w:val="00707392"/>
    <w:rsid w:val="0071137E"/>
    <w:rsid w:val="0072202B"/>
    <w:rsid w:val="00734E0C"/>
    <w:rsid w:val="00746C7A"/>
    <w:rsid w:val="007526E3"/>
    <w:rsid w:val="00755784"/>
    <w:rsid w:val="007650A4"/>
    <w:rsid w:val="00765367"/>
    <w:rsid w:val="007A7533"/>
    <w:rsid w:val="007B6C36"/>
    <w:rsid w:val="007D7FA6"/>
    <w:rsid w:val="007E54AD"/>
    <w:rsid w:val="008114C5"/>
    <w:rsid w:val="00825614"/>
    <w:rsid w:val="00845561"/>
    <w:rsid w:val="00853748"/>
    <w:rsid w:val="008A651A"/>
    <w:rsid w:val="008B5917"/>
    <w:rsid w:val="008C47FA"/>
    <w:rsid w:val="008E281C"/>
    <w:rsid w:val="008E3623"/>
    <w:rsid w:val="008E755A"/>
    <w:rsid w:val="008E7D35"/>
    <w:rsid w:val="008F1043"/>
    <w:rsid w:val="00906330"/>
    <w:rsid w:val="00915229"/>
    <w:rsid w:val="00920EE0"/>
    <w:rsid w:val="00923FA3"/>
    <w:rsid w:val="0092549F"/>
    <w:rsid w:val="00957FAB"/>
    <w:rsid w:val="00971F35"/>
    <w:rsid w:val="009933FE"/>
    <w:rsid w:val="009A2C08"/>
    <w:rsid w:val="009B12FD"/>
    <w:rsid w:val="009B5DAD"/>
    <w:rsid w:val="00A026BB"/>
    <w:rsid w:val="00A04FC3"/>
    <w:rsid w:val="00A27938"/>
    <w:rsid w:val="00A30F7D"/>
    <w:rsid w:val="00A34781"/>
    <w:rsid w:val="00A3744A"/>
    <w:rsid w:val="00A425FE"/>
    <w:rsid w:val="00A62DE2"/>
    <w:rsid w:val="00A67228"/>
    <w:rsid w:val="00A74C53"/>
    <w:rsid w:val="00A852B7"/>
    <w:rsid w:val="00A87A76"/>
    <w:rsid w:val="00AD0DA4"/>
    <w:rsid w:val="00AD6A86"/>
    <w:rsid w:val="00AD7C81"/>
    <w:rsid w:val="00AF41F7"/>
    <w:rsid w:val="00B01F6F"/>
    <w:rsid w:val="00B0465C"/>
    <w:rsid w:val="00B0528E"/>
    <w:rsid w:val="00B22C83"/>
    <w:rsid w:val="00B32F44"/>
    <w:rsid w:val="00B45A7E"/>
    <w:rsid w:val="00B558F4"/>
    <w:rsid w:val="00B60400"/>
    <w:rsid w:val="00B67523"/>
    <w:rsid w:val="00B75753"/>
    <w:rsid w:val="00B8029F"/>
    <w:rsid w:val="00B8139F"/>
    <w:rsid w:val="00B821B5"/>
    <w:rsid w:val="00B86519"/>
    <w:rsid w:val="00B87BAE"/>
    <w:rsid w:val="00B9053E"/>
    <w:rsid w:val="00B958E6"/>
    <w:rsid w:val="00B965AF"/>
    <w:rsid w:val="00BB6A7C"/>
    <w:rsid w:val="00BC0CE9"/>
    <w:rsid w:val="00BC636B"/>
    <w:rsid w:val="00BD3498"/>
    <w:rsid w:val="00BE50EA"/>
    <w:rsid w:val="00BE6469"/>
    <w:rsid w:val="00C2043F"/>
    <w:rsid w:val="00C40CCC"/>
    <w:rsid w:val="00C41960"/>
    <w:rsid w:val="00C42F42"/>
    <w:rsid w:val="00C53940"/>
    <w:rsid w:val="00C60FDB"/>
    <w:rsid w:val="00C853B5"/>
    <w:rsid w:val="00C916B2"/>
    <w:rsid w:val="00CA14E9"/>
    <w:rsid w:val="00CA45EC"/>
    <w:rsid w:val="00CB0EA2"/>
    <w:rsid w:val="00CC11D4"/>
    <w:rsid w:val="00CC5A29"/>
    <w:rsid w:val="00CD1120"/>
    <w:rsid w:val="00CE21F5"/>
    <w:rsid w:val="00CF1174"/>
    <w:rsid w:val="00CF702F"/>
    <w:rsid w:val="00D058CA"/>
    <w:rsid w:val="00D10E33"/>
    <w:rsid w:val="00D156D8"/>
    <w:rsid w:val="00D20094"/>
    <w:rsid w:val="00D41751"/>
    <w:rsid w:val="00D647C7"/>
    <w:rsid w:val="00D70AF4"/>
    <w:rsid w:val="00D74CD9"/>
    <w:rsid w:val="00D823DE"/>
    <w:rsid w:val="00D835F0"/>
    <w:rsid w:val="00D9758B"/>
    <w:rsid w:val="00DD5301"/>
    <w:rsid w:val="00DE5403"/>
    <w:rsid w:val="00DE6D3A"/>
    <w:rsid w:val="00E15C03"/>
    <w:rsid w:val="00E200FD"/>
    <w:rsid w:val="00E23819"/>
    <w:rsid w:val="00E24049"/>
    <w:rsid w:val="00E50EB0"/>
    <w:rsid w:val="00E5113E"/>
    <w:rsid w:val="00E74BE4"/>
    <w:rsid w:val="00E816F3"/>
    <w:rsid w:val="00EA4E9C"/>
    <w:rsid w:val="00EA7AEF"/>
    <w:rsid w:val="00EB0243"/>
    <w:rsid w:val="00EE14CE"/>
    <w:rsid w:val="00EE173C"/>
    <w:rsid w:val="00EE2596"/>
    <w:rsid w:val="00EE7349"/>
    <w:rsid w:val="00EF2DC2"/>
    <w:rsid w:val="00EF6EE8"/>
    <w:rsid w:val="00F05AAA"/>
    <w:rsid w:val="00F10C37"/>
    <w:rsid w:val="00F10D47"/>
    <w:rsid w:val="00F11D93"/>
    <w:rsid w:val="00F33760"/>
    <w:rsid w:val="00F369D0"/>
    <w:rsid w:val="00F4347B"/>
    <w:rsid w:val="00F47558"/>
    <w:rsid w:val="00F47679"/>
    <w:rsid w:val="00F50B44"/>
    <w:rsid w:val="00F54DDA"/>
    <w:rsid w:val="00F557A8"/>
    <w:rsid w:val="00F60D64"/>
    <w:rsid w:val="00F641B2"/>
    <w:rsid w:val="00F76747"/>
    <w:rsid w:val="00F826A5"/>
    <w:rsid w:val="00F91F2A"/>
    <w:rsid w:val="00F94814"/>
    <w:rsid w:val="00F97E98"/>
    <w:rsid w:val="00FA4BFA"/>
    <w:rsid w:val="00FB02C2"/>
    <w:rsid w:val="00FB1C9D"/>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bidi="bn-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12302B"/>
  <w15:docId w15:val="{60EDFBD2-471E-47CE-8B1B-2DD1DD4E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3C1DDF"/>
    <w:pPr>
      <w:keepNext/>
      <w:keepLines/>
      <w:suppressAutoHyphens/>
      <w:spacing w:before="200" w:after="120"/>
      <w:outlineLvl w:val="0"/>
    </w:pPr>
    <w:rPr>
      <w:rFonts w:eastAsiaTheme="majorEastAsia" w:cstheme="majorBidi"/>
      <w:bCs/>
      <w:kern w:val="32"/>
      <w:sz w:val="36"/>
      <w:szCs w:val="36"/>
    </w:rPr>
  </w:style>
  <w:style w:type="paragraph" w:styleId="Otsikko2">
    <w:name w:val="heading 2"/>
    <w:basedOn w:val="Normaali"/>
    <w:next w:val="Sis2"/>
    <w:link w:val="Otsikko2Char"/>
    <w:uiPriority w:val="9"/>
    <w:qFormat/>
    <w:rsid w:val="003C1DDF"/>
    <w:pPr>
      <w:keepNext/>
      <w:keepLines/>
      <w:suppressAutoHyphens/>
      <w:spacing w:before="200" w:after="120"/>
      <w:contextualSpacing/>
      <w:outlineLvl w:val="1"/>
    </w:pPr>
    <w:rPr>
      <w:rFonts w:eastAsiaTheme="majorEastAsia" w:cstheme="majorBidi"/>
      <w:bCs/>
      <w:kern w:val="32"/>
      <w:sz w:val="28"/>
      <w:szCs w:val="28"/>
    </w:rPr>
  </w:style>
  <w:style w:type="paragraph" w:styleId="Otsikko3">
    <w:name w:val="heading 3"/>
    <w:basedOn w:val="Normaali"/>
    <w:next w:val="Sis2"/>
    <w:link w:val="Otsikko3Char"/>
    <w:uiPriority w:val="9"/>
    <w:qFormat/>
    <w:rsid w:val="003C1DDF"/>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3C1DDF"/>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3C1DDF"/>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3C1DDF"/>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3C1DDF"/>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3C1DDF"/>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3C1DDF"/>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3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C1DDF"/>
    <w:rPr>
      <w:rFonts w:ascii="Arial" w:eastAsiaTheme="majorEastAsia" w:hAnsi="Arial" w:cstheme="majorBidi"/>
      <w:bCs/>
      <w:kern w:val="32"/>
      <w:sz w:val="36"/>
      <w:szCs w:val="36"/>
    </w:rPr>
  </w:style>
  <w:style w:type="character" w:customStyle="1" w:styleId="Otsikko2Char">
    <w:name w:val="Otsikko 2 Char"/>
    <w:basedOn w:val="Kappaleenoletusfontti"/>
    <w:link w:val="Otsikko2"/>
    <w:uiPriority w:val="9"/>
    <w:rsid w:val="003C1DDF"/>
    <w:rPr>
      <w:rFonts w:ascii="Arial" w:eastAsiaTheme="majorEastAsia" w:hAnsi="Arial" w:cstheme="majorBidi"/>
      <w:bCs/>
      <w:kern w:val="32"/>
      <w:sz w:val="28"/>
      <w:szCs w:val="28"/>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Arial" w:eastAsiaTheme="majorEastAsia" w:hAnsi="Arial" w:cstheme="majorBidi"/>
    </w:rPr>
  </w:style>
  <w:style w:type="character" w:customStyle="1" w:styleId="Otsikko6Char">
    <w:name w:val="Otsikko 6 Char"/>
    <w:basedOn w:val="Kappaleenoletusfontti"/>
    <w:link w:val="Otsikko6"/>
    <w:uiPriority w:val="9"/>
    <w:semiHidden/>
    <w:rsid w:val="00D70AF4"/>
    <w:rPr>
      <w:rFonts w:ascii="Arial" w:eastAsiaTheme="majorEastAsia" w:hAnsi="Arial" w:cstheme="majorBidi"/>
      <w:iCs/>
    </w:rPr>
  </w:style>
  <w:style w:type="character" w:customStyle="1" w:styleId="Otsikko7Char">
    <w:name w:val="Otsikko 7 Char"/>
    <w:basedOn w:val="Kappaleenoletusfontti"/>
    <w:link w:val="Otsikko7"/>
    <w:uiPriority w:val="9"/>
    <w:semiHidden/>
    <w:rsid w:val="00D70AF4"/>
    <w:rPr>
      <w:rFonts w:ascii="Arial" w:eastAsiaTheme="majorEastAsia" w:hAnsi="Arial" w:cstheme="majorBidi"/>
      <w:iCs/>
    </w:rPr>
  </w:style>
  <w:style w:type="character" w:customStyle="1" w:styleId="Otsikko8Char">
    <w:name w:val="Otsikko 8 Char"/>
    <w:basedOn w:val="Kappaleenoletusfontti"/>
    <w:link w:val="Otsikko8"/>
    <w:uiPriority w:val="9"/>
    <w:semiHidden/>
    <w:rsid w:val="00D70AF4"/>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D70AF4"/>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954F72"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D9640C"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D9640C"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0563C1"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88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003883"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2"/>
        <w:bottom w:val="single" w:sz="8" w:space="0" w:color="D9640C" w:themeColor="accent2"/>
      </w:tblBorders>
    </w:tblPr>
    <w:tblStylePr w:type="firstRow">
      <w:rPr>
        <w:rFonts w:asciiTheme="majorHAnsi" w:eastAsiaTheme="majorEastAsia" w:hAnsiTheme="majorHAnsi" w:cstheme="majorBidi"/>
      </w:rPr>
      <w:tblPr/>
      <w:tcPr>
        <w:tcBorders>
          <w:top w:val="nil"/>
          <w:bottom w:val="single" w:sz="8" w:space="0" w:color="D9640C" w:themeColor="accent2"/>
        </w:tcBorders>
      </w:tcPr>
    </w:tblStylePr>
    <w:tblStylePr w:type="lastRow">
      <w:rPr>
        <w:b/>
        <w:bCs/>
        <w:color w:val="003883" w:themeColor="text2"/>
      </w:rPr>
      <w:tblPr/>
      <w:tcPr>
        <w:tcBorders>
          <w:top w:val="single" w:sz="8" w:space="0" w:color="D9640C" w:themeColor="accent2"/>
          <w:bottom w:val="single" w:sz="8" w:space="0" w:color="D9640C" w:themeColor="accent2"/>
        </w:tcBorders>
      </w:tcPr>
    </w:tblStylePr>
    <w:tblStylePr w:type="firstCol">
      <w:rPr>
        <w:b/>
        <w:bCs/>
      </w:rPr>
    </w:tblStylePr>
    <w:tblStylePr w:type="lastCol">
      <w:rPr>
        <w:b/>
        <w:bCs/>
      </w:rPr>
      <w:tblPr/>
      <w:tcPr>
        <w:tcBorders>
          <w:top w:val="single" w:sz="8" w:space="0" w:color="D9640C" w:themeColor="accent2"/>
          <w:bottom w:val="single" w:sz="8" w:space="0" w:color="D9640C" w:themeColor="accent2"/>
        </w:tcBorders>
      </w:tcPr>
    </w:tblStylePr>
    <w:tblStylePr w:type="band1Vert">
      <w:tblPr/>
      <w:tcPr>
        <w:shd w:val="clear" w:color="auto" w:fill="FBD7BC" w:themeFill="accent2" w:themeFillTint="3F"/>
      </w:tcPr>
    </w:tblStylePr>
    <w:tblStylePr w:type="band1Horz">
      <w:tblPr/>
      <w:tcPr>
        <w:shd w:val="clear" w:color="auto" w:fill="FBD7BC"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5A8117" w:themeColor="accent3"/>
        <w:bottom w:val="single" w:sz="8" w:space="0" w:color="5A8117" w:themeColor="accent3"/>
      </w:tblBorders>
    </w:tblPr>
    <w:tblStylePr w:type="firstRow">
      <w:rPr>
        <w:rFonts w:asciiTheme="majorHAnsi" w:eastAsiaTheme="majorEastAsia" w:hAnsiTheme="majorHAnsi" w:cstheme="majorBidi"/>
      </w:rPr>
      <w:tblPr/>
      <w:tcPr>
        <w:tcBorders>
          <w:top w:val="nil"/>
          <w:bottom w:val="single" w:sz="8" w:space="0" w:color="5A8117" w:themeColor="accent3"/>
        </w:tcBorders>
      </w:tcPr>
    </w:tblStylePr>
    <w:tblStylePr w:type="lastRow">
      <w:rPr>
        <w:b/>
        <w:bCs/>
        <w:color w:val="003883" w:themeColor="text2"/>
      </w:rPr>
      <w:tblPr/>
      <w:tcPr>
        <w:tcBorders>
          <w:top w:val="single" w:sz="8" w:space="0" w:color="5A8117" w:themeColor="accent3"/>
          <w:bottom w:val="single" w:sz="8" w:space="0" w:color="5A8117" w:themeColor="accent3"/>
        </w:tcBorders>
      </w:tcPr>
    </w:tblStylePr>
    <w:tblStylePr w:type="firstCol">
      <w:rPr>
        <w:b/>
        <w:bCs/>
      </w:rPr>
    </w:tblStylePr>
    <w:tblStylePr w:type="lastCol">
      <w:rPr>
        <w:b/>
        <w:bCs/>
      </w:rPr>
      <w:tblPr/>
      <w:tcPr>
        <w:tcBorders>
          <w:top w:val="single" w:sz="8" w:space="0" w:color="5A8117" w:themeColor="accent3"/>
          <w:bottom w:val="single" w:sz="8" w:space="0" w:color="5A8117" w:themeColor="accent3"/>
        </w:tcBorders>
      </w:tcPr>
    </w:tblStylePr>
    <w:tblStylePr w:type="band1Vert">
      <w:tblPr/>
      <w:tcPr>
        <w:shd w:val="clear" w:color="auto" w:fill="DAF1B3" w:themeFill="accent3" w:themeFillTint="3F"/>
      </w:tcPr>
    </w:tblStylePr>
    <w:tblStylePr w:type="band1Horz">
      <w:tblPr/>
      <w:tcPr>
        <w:shd w:val="clear" w:color="auto" w:fill="DAF1B3"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003883"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623412" w:themeColor="accent5"/>
        <w:bottom w:val="single" w:sz="8" w:space="0" w:color="623412" w:themeColor="accent5"/>
      </w:tblBorders>
    </w:tblPr>
    <w:tblStylePr w:type="firstRow">
      <w:rPr>
        <w:rFonts w:asciiTheme="majorHAnsi" w:eastAsiaTheme="majorEastAsia" w:hAnsiTheme="majorHAnsi" w:cstheme="majorBidi"/>
      </w:rPr>
      <w:tblPr/>
      <w:tcPr>
        <w:tcBorders>
          <w:top w:val="nil"/>
          <w:bottom w:val="single" w:sz="8" w:space="0" w:color="623412" w:themeColor="accent5"/>
        </w:tcBorders>
      </w:tcPr>
    </w:tblStylePr>
    <w:tblStylePr w:type="lastRow">
      <w:rPr>
        <w:b/>
        <w:bCs/>
        <w:color w:val="003883" w:themeColor="text2"/>
      </w:rPr>
      <w:tblPr/>
      <w:tcPr>
        <w:tcBorders>
          <w:top w:val="single" w:sz="8" w:space="0" w:color="623412" w:themeColor="accent5"/>
          <w:bottom w:val="single" w:sz="8" w:space="0" w:color="623412" w:themeColor="accent5"/>
        </w:tcBorders>
      </w:tcPr>
    </w:tblStylePr>
    <w:tblStylePr w:type="firstCol">
      <w:rPr>
        <w:b/>
        <w:bCs/>
      </w:rPr>
    </w:tblStylePr>
    <w:tblStylePr w:type="lastCol">
      <w:rPr>
        <w:b/>
        <w:bCs/>
      </w:rPr>
      <w:tblPr/>
      <w:tcPr>
        <w:tcBorders>
          <w:top w:val="single" w:sz="8" w:space="0" w:color="623412" w:themeColor="accent5"/>
          <w:bottom w:val="single" w:sz="8" w:space="0" w:color="623412" w:themeColor="accent5"/>
        </w:tcBorders>
      </w:tcPr>
    </w:tblStylePr>
    <w:tblStylePr w:type="band1Vert">
      <w:tblPr/>
      <w:tcPr>
        <w:shd w:val="clear" w:color="auto" w:fill="F0C8AC" w:themeFill="accent5" w:themeFillTint="3F"/>
      </w:tcPr>
    </w:tblStylePr>
    <w:tblStylePr w:type="band1Horz">
      <w:tblPr/>
      <w:tcPr>
        <w:shd w:val="clear" w:color="auto" w:fill="F0C8AC"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9E652E" w:themeColor="accent6"/>
        <w:bottom w:val="single" w:sz="8" w:space="0" w:color="9E652E" w:themeColor="accent6"/>
      </w:tblBorders>
    </w:tblPr>
    <w:tblStylePr w:type="firstRow">
      <w:rPr>
        <w:rFonts w:asciiTheme="majorHAnsi" w:eastAsiaTheme="majorEastAsia" w:hAnsiTheme="majorHAnsi" w:cstheme="majorBidi"/>
      </w:rPr>
      <w:tblPr/>
      <w:tcPr>
        <w:tcBorders>
          <w:top w:val="nil"/>
          <w:bottom w:val="single" w:sz="8" w:space="0" w:color="9E652E" w:themeColor="accent6"/>
        </w:tcBorders>
      </w:tcPr>
    </w:tblStylePr>
    <w:tblStylePr w:type="lastRow">
      <w:rPr>
        <w:b/>
        <w:bCs/>
        <w:color w:val="003883" w:themeColor="text2"/>
      </w:rPr>
      <w:tblPr/>
      <w:tcPr>
        <w:tcBorders>
          <w:top w:val="single" w:sz="8" w:space="0" w:color="9E652E" w:themeColor="accent6"/>
          <w:bottom w:val="single" w:sz="8" w:space="0" w:color="9E652E" w:themeColor="accent6"/>
        </w:tcBorders>
      </w:tcPr>
    </w:tblStylePr>
    <w:tblStylePr w:type="firstCol">
      <w:rPr>
        <w:b/>
        <w:bCs/>
      </w:rPr>
    </w:tblStylePr>
    <w:tblStylePr w:type="lastCol">
      <w:rPr>
        <w:b/>
        <w:bCs/>
      </w:rPr>
      <w:tblPr/>
      <w:tcPr>
        <w:tcBorders>
          <w:top w:val="single" w:sz="8" w:space="0" w:color="9E652E" w:themeColor="accent6"/>
          <w:bottom w:val="single" w:sz="8" w:space="0" w:color="9E652E" w:themeColor="accent6"/>
        </w:tcBorders>
      </w:tcPr>
    </w:tblStylePr>
    <w:tblStylePr w:type="band1Vert">
      <w:tblPr/>
      <w:tcPr>
        <w:shd w:val="clear" w:color="auto" w:fill="EED8C4" w:themeFill="accent6" w:themeFillTint="3F"/>
      </w:tcPr>
    </w:tblStylePr>
    <w:tblStylePr w:type="band1Horz">
      <w:tblPr/>
      <w:tcPr>
        <w:shd w:val="clear" w:color="auto" w:fill="EED8C4"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tblBorders>
    </w:tblPr>
    <w:tblStylePr w:type="firstRow">
      <w:rPr>
        <w:sz w:val="24"/>
        <w:szCs w:val="24"/>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tblPr/>
      <w:tcPr>
        <w:tcBorders>
          <w:top w:val="single" w:sz="8" w:space="0" w:color="D9640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2"/>
          <w:insideH w:val="nil"/>
          <w:insideV w:val="nil"/>
        </w:tcBorders>
        <w:shd w:val="clear" w:color="auto" w:fill="FFFFFF" w:themeFill="background1"/>
      </w:tcPr>
    </w:tblStylePr>
    <w:tblStylePr w:type="lastCol">
      <w:tblPr/>
      <w:tcPr>
        <w:tcBorders>
          <w:top w:val="nil"/>
          <w:left w:val="single" w:sz="8" w:space="0" w:color="D9640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2" w:themeFillTint="3F"/>
      </w:tcPr>
    </w:tblStylePr>
    <w:tblStylePr w:type="band1Horz">
      <w:tblPr/>
      <w:tcPr>
        <w:tcBorders>
          <w:top w:val="nil"/>
          <w:bottom w:val="nil"/>
          <w:insideH w:val="nil"/>
          <w:insideV w:val="nil"/>
        </w:tcBorders>
        <w:shd w:val="clear" w:color="auto" w:fill="FBD7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tblBorders>
    </w:tblPr>
    <w:tblStylePr w:type="firstRow">
      <w:rPr>
        <w:sz w:val="24"/>
        <w:szCs w:val="24"/>
      </w:rPr>
      <w:tblPr/>
      <w:tcPr>
        <w:tcBorders>
          <w:top w:val="nil"/>
          <w:left w:val="nil"/>
          <w:bottom w:val="single" w:sz="24" w:space="0" w:color="5A8117" w:themeColor="accent3"/>
          <w:right w:val="nil"/>
          <w:insideH w:val="nil"/>
          <w:insideV w:val="nil"/>
        </w:tcBorders>
        <w:shd w:val="clear" w:color="auto" w:fill="FFFFFF" w:themeFill="background1"/>
      </w:tcPr>
    </w:tblStylePr>
    <w:tblStylePr w:type="lastRow">
      <w:tblPr/>
      <w:tcPr>
        <w:tcBorders>
          <w:top w:val="single" w:sz="8" w:space="0" w:color="5A811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8117" w:themeColor="accent3"/>
          <w:insideH w:val="nil"/>
          <w:insideV w:val="nil"/>
        </w:tcBorders>
        <w:shd w:val="clear" w:color="auto" w:fill="FFFFFF" w:themeFill="background1"/>
      </w:tcPr>
    </w:tblStylePr>
    <w:tblStylePr w:type="lastCol">
      <w:tblPr/>
      <w:tcPr>
        <w:tcBorders>
          <w:top w:val="nil"/>
          <w:left w:val="single" w:sz="8" w:space="0" w:color="5A811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1B3" w:themeFill="accent3" w:themeFillTint="3F"/>
      </w:tcPr>
    </w:tblStylePr>
    <w:tblStylePr w:type="band1Horz">
      <w:tblPr/>
      <w:tcPr>
        <w:tcBorders>
          <w:top w:val="nil"/>
          <w:bottom w:val="nil"/>
          <w:insideH w:val="nil"/>
          <w:insideV w:val="nil"/>
        </w:tcBorders>
        <w:shd w:val="clear" w:color="auto" w:fill="DAF1B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tblBorders>
    </w:tblPr>
    <w:tblStylePr w:type="firstRow">
      <w:rPr>
        <w:sz w:val="24"/>
        <w:szCs w:val="24"/>
      </w:rPr>
      <w:tblPr/>
      <w:tcPr>
        <w:tcBorders>
          <w:top w:val="nil"/>
          <w:left w:val="nil"/>
          <w:bottom w:val="single" w:sz="24" w:space="0" w:color="623412" w:themeColor="accent5"/>
          <w:right w:val="nil"/>
          <w:insideH w:val="nil"/>
          <w:insideV w:val="nil"/>
        </w:tcBorders>
        <w:shd w:val="clear" w:color="auto" w:fill="FFFFFF" w:themeFill="background1"/>
      </w:tcPr>
    </w:tblStylePr>
    <w:tblStylePr w:type="lastRow">
      <w:tblPr/>
      <w:tcPr>
        <w:tcBorders>
          <w:top w:val="single" w:sz="8" w:space="0" w:color="6234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3412" w:themeColor="accent5"/>
          <w:insideH w:val="nil"/>
          <w:insideV w:val="nil"/>
        </w:tcBorders>
        <w:shd w:val="clear" w:color="auto" w:fill="FFFFFF" w:themeFill="background1"/>
      </w:tcPr>
    </w:tblStylePr>
    <w:tblStylePr w:type="lastCol">
      <w:tblPr/>
      <w:tcPr>
        <w:tcBorders>
          <w:top w:val="nil"/>
          <w:left w:val="single" w:sz="8" w:space="0" w:color="6234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8AC" w:themeFill="accent5" w:themeFillTint="3F"/>
      </w:tcPr>
    </w:tblStylePr>
    <w:tblStylePr w:type="band1Horz">
      <w:tblPr/>
      <w:tcPr>
        <w:tcBorders>
          <w:top w:val="nil"/>
          <w:bottom w:val="nil"/>
          <w:insideH w:val="nil"/>
          <w:insideV w:val="nil"/>
        </w:tcBorders>
        <w:shd w:val="clear" w:color="auto" w:fill="F0C8A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tblBorders>
    </w:tblPr>
    <w:tblStylePr w:type="firstRow">
      <w:rPr>
        <w:sz w:val="24"/>
        <w:szCs w:val="24"/>
      </w:rPr>
      <w:tblPr/>
      <w:tcPr>
        <w:tcBorders>
          <w:top w:val="nil"/>
          <w:left w:val="nil"/>
          <w:bottom w:val="single" w:sz="24" w:space="0" w:color="9E652E" w:themeColor="accent6"/>
          <w:right w:val="nil"/>
          <w:insideH w:val="nil"/>
          <w:insideV w:val="nil"/>
        </w:tcBorders>
        <w:shd w:val="clear" w:color="auto" w:fill="FFFFFF" w:themeFill="background1"/>
      </w:tcPr>
    </w:tblStylePr>
    <w:tblStylePr w:type="lastRow">
      <w:tblPr/>
      <w:tcPr>
        <w:tcBorders>
          <w:top w:val="single" w:sz="8" w:space="0" w:color="9E652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652E" w:themeColor="accent6"/>
          <w:insideH w:val="nil"/>
          <w:insideV w:val="nil"/>
        </w:tcBorders>
        <w:shd w:val="clear" w:color="auto" w:fill="FFFFFF" w:themeFill="background1"/>
      </w:tcPr>
    </w:tblStylePr>
    <w:tblStylePr w:type="lastCol">
      <w:tblPr/>
      <w:tcPr>
        <w:tcBorders>
          <w:top w:val="nil"/>
          <w:left w:val="single" w:sz="8" w:space="0" w:color="9E65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8C4" w:themeFill="accent6" w:themeFillTint="3F"/>
      </w:tcPr>
    </w:tblStylePr>
    <w:tblStylePr w:type="band1Horz">
      <w:tblPr/>
      <w:tcPr>
        <w:tcBorders>
          <w:top w:val="nil"/>
          <w:bottom w:val="nil"/>
          <w:insideH w:val="nil"/>
          <w:insideV w:val="nil"/>
        </w:tcBorders>
        <w:shd w:val="clear" w:color="auto" w:fill="EED8C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single" w:sz="8" w:space="0" w:color="F48737" w:themeColor="accent2" w:themeTint="BF"/>
        <w:insideV w:val="single" w:sz="8" w:space="0" w:color="F48737" w:themeColor="accent2" w:themeTint="BF"/>
      </w:tblBorders>
    </w:tblPr>
    <w:tcPr>
      <w:shd w:val="clear" w:color="auto" w:fill="FBD7BC" w:themeFill="accent2" w:themeFillTint="3F"/>
    </w:tcPr>
    <w:tblStylePr w:type="firstRow">
      <w:rPr>
        <w:b/>
        <w:bCs/>
      </w:rPr>
    </w:tblStylePr>
    <w:tblStylePr w:type="lastRow">
      <w:rPr>
        <w:b/>
        <w:bCs/>
      </w:rPr>
      <w:tblPr/>
      <w:tcPr>
        <w:tcBorders>
          <w:top w:val="single" w:sz="18" w:space="0" w:color="F48737" w:themeColor="accent2" w:themeTint="BF"/>
        </w:tcBorders>
      </w:tcPr>
    </w:tblStylePr>
    <w:tblStylePr w:type="firstCol">
      <w:rPr>
        <w:b/>
        <w:bCs/>
      </w:rPr>
    </w:tblStylePr>
    <w:tblStylePr w:type="lastCol">
      <w:rPr>
        <w:b/>
        <w:bCs/>
      </w:rPr>
    </w:tblStylePr>
    <w:tblStylePr w:type="band1Vert">
      <w:tblPr/>
      <w:tcPr>
        <w:shd w:val="clear" w:color="auto" w:fill="F7AF7A" w:themeFill="accent2" w:themeFillTint="7F"/>
      </w:tcPr>
    </w:tblStylePr>
    <w:tblStylePr w:type="band1Horz">
      <w:tblPr/>
      <w:tcPr>
        <w:shd w:val="clear" w:color="auto" w:fill="F7AF7A"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single" w:sz="8" w:space="0" w:color="8ECD24" w:themeColor="accent3" w:themeTint="BF"/>
        <w:insideV w:val="single" w:sz="8" w:space="0" w:color="8ECD24" w:themeColor="accent3" w:themeTint="BF"/>
      </w:tblBorders>
    </w:tblPr>
    <w:tcPr>
      <w:shd w:val="clear" w:color="auto" w:fill="DAF1B3" w:themeFill="accent3" w:themeFillTint="3F"/>
    </w:tcPr>
    <w:tblStylePr w:type="firstRow">
      <w:rPr>
        <w:b/>
        <w:bCs/>
      </w:rPr>
    </w:tblStylePr>
    <w:tblStylePr w:type="lastRow">
      <w:rPr>
        <w:b/>
        <w:bCs/>
      </w:rPr>
      <w:tblPr/>
      <w:tcPr>
        <w:tcBorders>
          <w:top w:val="single" w:sz="18" w:space="0" w:color="8ECD24" w:themeColor="accent3" w:themeTint="BF"/>
        </w:tcBorders>
      </w:tcPr>
    </w:tblStylePr>
    <w:tblStylePr w:type="firstCol">
      <w:rPr>
        <w:b/>
        <w:bCs/>
      </w:rPr>
    </w:tblStylePr>
    <w:tblStylePr w:type="lastCol">
      <w:rPr>
        <w:b/>
        <w:bCs/>
      </w:rPr>
    </w:tblStylePr>
    <w:tblStylePr w:type="band1Vert">
      <w:tblPr/>
      <w:tcPr>
        <w:shd w:val="clear" w:color="auto" w:fill="B6E467" w:themeFill="accent3" w:themeFillTint="7F"/>
      </w:tcPr>
    </w:tblStylePr>
    <w:tblStylePr w:type="band1Horz">
      <w:tblPr/>
      <w:tcPr>
        <w:shd w:val="clear" w:color="auto" w:fill="B6E467"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single" w:sz="8" w:space="0" w:color="B56021" w:themeColor="accent5" w:themeTint="BF"/>
        <w:insideV w:val="single" w:sz="8" w:space="0" w:color="B56021" w:themeColor="accent5" w:themeTint="BF"/>
      </w:tblBorders>
    </w:tblPr>
    <w:tcPr>
      <w:shd w:val="clear" w:color="auto" w:fill="F0C8AC" w:themeFill="accent5" w:themeFillTint="3F"/>
    </w:tcPr>
    <w:tblStylePr w:type="firstRow">
      <w:rPr>
        <w:b/>
        <w:bCs/>
      </w:rPr>
    </w:tblStylePr>
    <w:tblStylePr w:type="lastRow">
      <w:rPr>
        <w:b/>
        <w:bCs/>
      </w:rPr>
      <w:tblPr/>
      <w:tcPr>
        <w:tcBorders>
          <w:top w:val="single" w:sz="18" w:space="0" w:color="B56021" w:themeColor="accent5" w:themeTint="BF"/>
        </w:tcBorders>
      </w:tcPr>
    </w:tblStylePr>
    <w:tblStylePr w:type="firstCol">
      <w:rPr>
        <w:b/>
        <w:bCs/>
      </w:rPr>
    </w:tblStylePr>
    <w:tblStylePr w:type="lastCol">
      <w:rPr>
        <w:b/>
        <w:bCs/>
      </w:rPr>
    </w:tblStylePr>
    <w:tblStylePr w:type="band1Vert">
      <w:tblPr/>
      <w:tcPr>
        <w:shd w:val="clear" w:color="auto" w:fill="E09259" w:themeFill="accent5" w:themeFillTint="7F"/>
      </w:tcPr>
    </w:tblStylePr>
    <w:tblStylePr w:type="band1Horz">
      <w:tblPr/>
      <w:tcPr>
        <w:shd w:val="clear" w:color="auto" w:fill="E09259"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single" w:sz="8" w:space="0" w:color="CB8B4D" w:themeColor="accent6" w:themeTint="BF"/>
        <w:insideV w:val="single" w:sz="8" w:space="0" w:color="CB8B4D" w:themeColor="accent6" w:themeTint="BF"/>
      </w:tblBorders>
    </w:tblPr>
    <w:tcPr>
      <w:shd w:val="clear" w:color="auto" w:fill="EED8C4" w:themeFill="accent6" w:themeFillTint="3F"/>
    </w:tcPr>
    <w:tblStylePr w:type="firstRow">
      <w:rPr>
        <w:b/>
        <w:bCs/>
      </w:rPr>
    </w:tblStylePr>
    <w:tblStylePr w:type="lastRow">
      <w:rPr>
        <w:b/>
        <w:bCs/>
      </w:rPr>
      <w:tblPr/>
      <w:tcPr>
        <w:tcBorders>
          <w:top w:val="single" w:sz="18" w:space="0" w:color="CB8B4D" w:themeColor="accent6" w:themeTint="BF"/>
        </w:tcBorders>
      </w:tcPr>
    </w:tblStylePr>
    <w:tblStylePr w:type="firstCol">
      <w:rPr>
        <w:b/>
        <w:bCs/>
      </w:rPr>
    </w:tblStylePr>
    <w:tblStylePr w:type="lastCol">
      <w:rPr>
        <w:b/>
        <w:bCs/>
      </w:rPr>
    </w:tblStylePr>
    <w:tblStylePr w:type="band1Vert">
      <w:tblPr/>
      <w:tcPr>
        <w:shd w:val="clear" w:color="auto" w:fill="DCB188" w:themeFill="accent6" w:themeFillTint="7F"/>
      </w:tcPr>
    </w:tblStylePr>
    <w:tblStylePr w:type="band1Horz">
      <w:tblPr/>
      <w:tcPr>
        <w:shd w:val="clear" w:color="auto" w:fill="DCB188"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insideH w:val="single" w:sz="8" w:space="0" w:color="D9640C" w:themeColor="accent2"/>
        <w:insideV w:val="single" w:sz="8" w:space="0" w:color="D9640C" w:themeColor="accent2"/>
      </w:tblBorders>
    </w:tblPr>
    <w:tcPr>
      <w:shd w:val="clear" w:color="auto" w:fill="FBD7BC" w:themeFill="accent2" w:themeFillTint="3F"/>
    </w:tcPr>
    <w:tblStylePr w:type="firstRow">
      <w:rPr>
        <w:b/>
        <w:bCs/>
        <w:color w:val="000000" w:themeColor="text1"/>
      </w:rPr>
      <w:tblPr/>
      <w:tcPr>
        <w:shd w:val="clear" w:color="auto" w:fill="FDEF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2" w:themeFillTint="33"/>
      </w:tcPr>
    </w:tblStylePr>
    <w:tblStylePr w:type="band1Vert">
      <w:tblPr/>
      <w:tcPr>
        <w:shd w:val="clear" w:color="auto" w:fill="F7AF7A" w:themeFill="accent2" w:themeFillTint="7F"/>
      </w:tcPr>
    </w:tblStylePr>
    <w:tblStylePr w:type="band1Horz">
      <w:tblPr/>
      <w:tcPr>
        <w:tcBorders>
          <w:insideH w:val="single" w:sz="6" w:space="0" w:color="D9640C" w:themeColor="accent2"/>
          <w:insideV w:val="single" w:sz="6" w:space="0" w:color="D9640C" w:themeColor="accent2"/>
        </w:tcBorders>
        <w:shd w:val="clear" w:color="auto" w:fill="F7AF7A"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insideH w:val="single" w:sz="8" w:space="0" w:color="5A8117" w:themeColor="accent3"/>
        <w:insideV w:val="single" w:sz="8" w:space="0" w:color="5A8117" w:themeColor="accent3"/>
      </w:tblBorders>
    </w:tblPr>
    <w:tcPr>
      <w:shd w:val="clear" w:color="auto" w:fill="DAF1B3" w:themeFill="accent3" w:themeFillTint="3F"/>
    </w:tcPr>
    <w:tblStylePr w:type="firstRow">
      <w:rPr>
        <w:b/>
        <w:bCs/>
        <w:color w:val="000000" w:themeColor="text1"/>
      </w:rPr>
      <w:tblPr/>
      <w:tcPr>
        <w:shd w:val="clear" w:color="auto" w:fill="F0F9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4C2" w:themeFill="accent3" w:themeFillTint="33"/>
      </w:tcPr>
    </w:tblStylePr>
    <w:tblStylePr w:type="band1Vert">
      <w:tblPr/>
      <w:tcPr>
        <w:shd w:val="clear" w:color="auto" w:fill="B6E467" w:themeFill="accent3" w:themeFillTint="7F"/>
      </w:tcPr>
    </w:tblStylePr>
    <w:tblStylePr w:type="band1Horz">
      <w:tblPr/>
      <w:tcPr>
        <w:tcBorders>
          <w:insideH w:val="single" w:sz="6" w:space="0" w:color="5A8117" w:themeColor="accent3"/>
          <w:insideV w:val="single" w:sz="6" w:space="0" w:color="5A8117" w:themeColor="accent3"/>
        </w:tcBorders>
        <w:shd w:val="clear" w:color="auto" w:fill="B6E467"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insideH w:val="single" w:sz="8" w:space="0" w:color="623412" w:themeColor="accent5"/>
        <w:insideV w:val="single" w:sz="8" w:space="0" w:color="623412" w:themeColor="accent5"/>
      </w:tblBorders>
    </w:tblPr>
    <w:tcPr>
      <w:shd w:val="clear" w:color="auto" w:fill="F0C8AC" w:themeFill="accent5" w:themeFillTint="3F"/>
    </w:tcPr>
    <w:tblStylePr w:type="firstRow">
      <w:rPr>
        <w:b/>
        <w:bCs/>
        <w:color w:val="000000" w:themeColor="text1"/>
      </w:rPr>
      <w:tblPr/>
      <w:tcPr>
        <w:shd w:val="clear" w:color="auto" w:fill="F9E9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3BC" w:themeFill="accent5" w:themeFillTint="33"/>
      </w:tcPr>
    </w:tblStylePr>
    <w:tblStylePr w:type="band1Vert">
      <w:tblPr/>
      <w:tcPr>
        <w:shd w:val="clear" w:color="auto" w:fill="E09259" w:themeFill="accent5" w:themeFillTint="7F"/>
      </w:tcPr>
    </w:tblStylePr>
    <w:tblStylePr w:type="band1Horz">
      <w:tblPr/>
      <w:tcPr>
        <w:tcBorders>
          <w:insideH w:val="single" w:sz="6" w:space="0" w:color="623412" w:themeColor="accent5"/>
          <w:insideV w:val="single" w:sz="6" w:space="0" w:color="623412" w:themeColor="accent5"/>
        </w:tcBorders>
        <w:shd w:val="clear" w:color="auto" w:fill="E09259"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insideH w:val="single" w:sz="8" w:space="0" w:color="9E652E" w:themeColor="accent6"/>
        <w:insideV w:val="single" w:sz="8" w:space="0" w:color="9E652E" w:themeColor="accent6"/>
      </w:tblBorders>
    </w:tblPr>
    <w:tcPr>
      <w:shd w:val="clear" w:color="auto" w:fill="EED8C4" w:themeFill="accent6" w:themeFillTint="3F"/>
    </w:tcPr>
    <w:tblStylePr w:type="firstRow">
      <w:rPr>
        <w:b/>
        <w:bCs/>
        <w:color w:val="000000" w:themeColor="text1"/>
      </w:rPr>
      <w:tblPr/>
      <w:tcPr>
        <w:shd w:val="clear" w:color="auto" w:fill="F8EFE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0CF" w:themeFill="accent6" w:themeFillTint="33"/>
      </w:tcPr>
    </w:tblStylePr>
    <w:tblStylePr w:type="band1Vert">
      <w:tblPr/>
      <w:tcPr>
        <w:shd w:val="clear" w:color="auto" w:fill="DCB188" w:themeFill="accent6" w:themeFillTint="7F"/>
      </w:tcPr>
    </w:tblStylePr>
    <w:tblStylePr w:type="band1Horz">
      <w:tblPr/>
      <w:tcPr>
        <w:tcBorders>
          <w:insideH w:val="single" w:sz="6" w:space="0" w:color="9E652E" w:themeColor="accent6"/>
          <w:insideV w:val="single" w:sz="6" w:space="0" w:color="9E652E" w:themeColor="accent6"/>
        </w:tcBorders>
        <w:shd w:val="clear" w:color="auto" w:fill="DCB188"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1B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811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811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811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811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E46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E467"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8A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34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34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34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34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92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9259"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8C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65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65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65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65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B18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B188"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single" w:sz="8" w:space="0" w:color="F48737" w:themeColor="accent2" w:themeTint="BF"/>
      </w:tblBorders>
    </w:tblPr>
    <w:tblStylePr w:type="firstRow">
      <w:pPr>
        <w:spacing w:before="0" w:after="0" w:line="240" w:lineRule="auto"/>
      </w:pPr>
      <w:rPr>
        <w:b/>
        <w:bCs/>
        <w:color w:val="FFFFFF" w:themeColor="background1"/>
      </w:rPr>
      <w:tblPr/>
      <w:tcPr>
        <w:tcBorders>
          <w:top w:val="single" w:sz="8"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nil"/>
          <w:insideV w:val="nil"/>
        </w:tcBorders>
        <w:shd w:val="clear" w:color="auto" w:fill="D9640C" w:themeFill="accent2"/>
      </w:tcPr>
    </w:tblStylePr>
    <w:tblStylePr w:type="lastRow">
      <w:pPr>
        <w:spacing w:before="0" w:after="0" w:line="240" w:lineRule="auto"/>
      </w:pPr>
      <w:rPr>
        <w:b/>
        <w:bCs/>
      </w:rPr>
      <w:tblPr/>
      <w:tcPr>
        <w:tcBorders>
          <w:top w:val="double" w:sz="6" w:space="0" w:color="F48737" w:themeColor="accent2" w:themeTint="BF"/>
          <w:left w:val="single" w:sz="8" w:space="0" w:color="F48737" w:themeColor="accent2" w:themeTint="BF"/>
          <w:bottom w:val="single" w:sz="8" w:space="0" w:color="F48737" w:themeColor="accent2" w:themeTint="BF"/>
          <w:right w:val="single" w:sz="8" w:space="0" w:color="F487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2" w:themeFillTint="3F"/>
      </w:tcPr>
    </w:tblStylePr>
    <w:tblStylePr w:type="band1Horz">
      <w:tblPr/>
      <w:tcPr>
        <w:tcBorders>
          <w:insideH w:val="nil"/>
          <w:insideV w:val="nil"/>
        </w:tcBorders>
        <w:shd w:val="clear" w:color="auto" w:fill="FBD7BC"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single" w:sz="8" w:space="0" w:color="8ECD24" w:themeColor="accent3" w:themeTint="BF"/>
      </w:tblBorders>
    </w:tblPr>
    <w:tblStylePr w:type="firstRow">
      <w:pPr>
        <w:spacing w:before="0" w:after="0" w:line="240" w:lineRule="auto"/>
      </w:pPr>
      <w:rPr>
        <w:b/>
        <w:bCs/>
        <w:color w:val="FFFFFF" w:themeColor="background1"/>
      </w:rPr>
      <w:tblPr/>
      <w:tcPr>
        <w:tcBorders>
          <w:top w:val="single" w:sz="8"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nil"/>
          <w:insideV w:val="nil"/>
        </w:tcBorders>
        <w:shd w:val="clear" w:color="auto" w:fill="5A8117" w:themeFill="accent3"/>
      </w:tcPr>
    </w:tblStylePr>
    <w:tblStylePr w:type="lastRow">
      <w:pPr>
        <w:spacing w:before="0" w:after="0" w:line="240" w:lineRule="auto"/>
      </w:pPr>
      <w:rPr>
        <w:b/>
        <w:bCs/>
      </w:rPr>
      <w:tblPr/>
      <w:tcPr>
        <w:tcBorders>
          <w:top w:val="double" w:sz="6" w:space="0" w:color="8ECD24" w:themeColor="accent3" w:themeTint="BF"/>
          <w:left w:val="single" w:sz="8" w:space="0" w:color="8ECD24" w:themeColor="accent3" w:themeTint="BF"/>
          <w:bottom w:val="single" w:sz="8" w:space="0" w:color="8ECD24" w:themeColor="accent3" w:themeTint="BF"/>
          <w:right w:val="single" w:sz="8" w:space="0" w:color="8ECD2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F1B3" w:themeFill="accent3" w:themeFillTint="3F"/>
      </w:tcPr>
    </w:tblStylePr>
    <w:tblStylePr w:type="band1Horz">
      <w:tblPr/>
      <w:tcPr>
        <w:tcBorders>
          <w:insideH w:val="nil"/>
          <w:insideV w:val="nil"/>
        </w:tcBorders>
        <w:shd w:val="clear" w:color="auto" w:fill="DAF1B3"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single" w:sz="8" w:space="0" w:color="B56021" w:themeColor="accent5" w:themeTint="BF"/>
      </w:tblBorders>
    </w:tblPr>
    <w:tblStylePr w:type="firstRow">
      <w:pPr>
        <w:spacing w:before="0" w:after="0" w:line="240" w:lineRule="auto"/>
      </w:pPr>
      <w:rPr>
        <w:b/>
        <w:bCs/>
        <w:color w:val="FFFFFF" w:themeColor="background1"/>
      </w:rPr>
      <w:tblPr/>
      <w:tcPr>
        <w:tcBorders>
          <w:top w:val="single" w:sz="8"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nil"/>
          <w:insideV w:val="nil"/>
        </w:tcBorders>
        <w:shd w:val="clear" w:color="auto" w:fill="623412" w:themeFill="accent5"/>
      </w:tcPr>
    </w:tblStylePr>
    <w:tblStylePr w:type="lastRow">
      <w:pPr>
        <w:spacing w:before="0" w:after="0" w:line="240" w:lineRule="auto"/>
      </w:pPr>
      <w:rPr>
        <w:b/>
        <w:bCs/>
      </w:rPr>
      <w:tblPr/>
      <w:tcPr>
        <w:tcBorders>
          <w:top w:val="double" w:sz="6" w:space="0" w:color="B56021" w:themeColor="accent5" w:themeTint="BF"/>
          <w:left w:val="single" w:sz="8" w:space="0" w:color="B56021" w:themeColor="accent5" w:themeTint="BF"/>
          <w:bottom w:val="single" w:sz="8" w:space="0" w:color="B56021" w:themeColor="accent5" w:themeTint="BF"/>
          <w:right w:val="single" w:sz="8" w:space="0" w:color="B5602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C8AC" w:themeFill="accent5" w:themeFillTint="3F"/>
      </w:tcPr>
    </w:tblStylePr>
    <w:tblStylePr w:type="band1Horz">
      <w:tblPr/>
      <w:tcPr>
        <w:tcBorders>
          <w:insideH w:val="nil"/>
          <w:insideV w:val="nil"/>
        </w:tcBorders>
        <w:shd w:val="clear" w:color="auto" w:fill="F0C8AC"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single" w:sz="8" w:space="0" w:color="CB8B4D" w:themeColor="accent6" w:themeTint="BF"/>
      </w:tblBorders>
    </w:tblPr>
    <w:tblStylePr w:type="firstRow">
      <w:pPr>
        <w:spacing w:before="0" w:after="0" w:line="240" w:lineRule="auto"/>
      </w:pPr>
      <w:rPr>
        <w:b/>
        <w:bCs/>
        <w:color w:val="FFFFFF" w:themeColor="background1"/>
      </w:rPr>
      <w:tblPr/>
      <w:tcPr>
        <w:tcBorders>
          <w:top w:val="single" w:sz="8"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nil"/>
          <w:insideV w:val="nil"/>
        </w:tcBorders>
        <w:shd w:val="clear" w:color="auto" w:fill="9E652E" w:themeFill="accent6"/>
      </w:tcPr>
    </w:tblStylePr>
    <w:tblStylePr w:type="lastRow">
      <w:pPr>
        <w:spacing w:before="0" w:after="0" w:line="240" w:lineRule="auto"/>
      </w:pPr>
      <w:rPr>
        <w:b/>
        <w:bCs/>
      </w:rPr>
      <w:tblPr/>
      <w:tcPr>
        <w:tcBorders>
          <w:top w:val="double" w:sz="6" w:space="0" w:color="CB8B4D" w:themeColor="accent6" w:themeTint="BF"/>
          <w:left w:val="single" w:sz="8" w:space="0" w:color="CB8B4D" w:themeColor="accent6" w:themeTint="BF"/>
          <w:bottom w:val="single" w:sz="8" w:space="0" w:color="CB8B4D" w:themeColor="accent6" w:themeTint="BF"/>
          <w:right w:val="single" w:sz="8" w:space="0" w:color="CB8B4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D8C4" w:themeFill="accent6" w:themeFillTint="3F"/>
      </w:tcPr>
    </w:tblStylePr>
    <w:tblStylePr w:type="band1Horz">
      <w:tblPr/>
      <w:tcPr>
        <w:tcBorders>
          <w:insideH w:val="nil"/>
          <w:insideV w:val="nil"/>
        </w:tcBorders>
        <w:shd w:val="clear" w:color="auto" w:fill="EED8C4"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2"/>
      </w:tcPr>
    </w:tblStylePr>
    <w:tblStylePr w:type="lastCol">
      <w:rPr>
        <w:b/>
        <w:bCs/>
        <w:color w:val="FFFFFF" w:themeColor="background1"/>
      </w:rPr>
      <w:tblPr/>
      <w:tcPr>
        <w:tcBorders>
          <w:left w:val="nil"/>
          <w:right w:val="nil"/>
          <w:insideH w:val="nil"/>
          <w:insideV w:val="nil"/>
        </w:tcBorders>
        <w:shd w:val="clear" w:color="auto" w:fill="D9640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811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8117" w:themeFill="accent3"/>
      </w:tcPr>
    </w:tblStylePr>
    <w:tblStylePr w:type="lastCol">
      <w:rPr>
        <w:b/>
        <w:bCs/>
        <w:color w:val="FFFFFF" w:themeColor="background1"/>
      </w:rPr>
      <w:tblPr/>
      <w:tcPr>
        <w:tcBorders>
          <w:left w:val="nil"/>
          <w:right w:val="nil"/>
          <w:insideH w:val="nil"/>
          <w:insideV w:val="nil"/>
        </w:tcBorders>
        <w:shd w:val="clear" w:color="auto" w:fill="5A811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34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3412" w:themeFill="accent5"/>
      </w:tcPr>
    </w:tblStylePr>
    <w:tblStylePr w:type="lastCol">
      <w:rPr>
        <w:b/>
        <w:bCs/>
        <w:color w:val="FFFFFF" w:themeColor="background1"/>
      </w:rPr>
      <w:tblPr/>
      <w:tcPr>
        <w:tcBorders>
          <w:left w:val="nil"/>
          <w:right w:val="nil"/>
          <w:insideH w:val="nil"/>
          <w:insideV w:val="nil"/>
        </w:tcBorders>
        <w:shd w:val="clear" w:color="auto" w:fill="6234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65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652E" w:themeFill="accent6"/>
      </w:tcPr>
    </w:tblStylePr>
    <w:tblStylePr w:type="lastCol">
      <w:rPr>
        <w:b/>
        <w:bCs/>
        <w:color w:val="FFFFFF" w:themeColor="background1"/>
      </w:rPr>
      <w:tblPr/>
      <w:tcPr>
        <w:tcBorders>
          <w:left w:val="nil"/>
          <w:right w:val="nil"/>
          <w:insideH w:val="nil"/>
          <w:insideV w:val="nil"/>
        </w:tcBorders>
        <w:shd w:val="clear" w:color="auto" w:fill="9E65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2" w:themeFillShade="BF"/>
      </w:tcPr>
    </w:tblStylePr>
    <w:tblStylePr w:type="band1Vert">
      <w:tblPr/>
      <w:tcPr>
        <w:tcBorders>
          <w:top w:val="nil"/>
          <w:left w:val="nil"/>
          <w:bottom w:val="nil"/>
          <w:right w:val="nil"/>
          <w:insideH w:val="nil"/>
          <w:insideV w:val="nil"/>
        </w:tcBorders>
        <w:shd w:val="clear" w:color="auto" w:fill="A24A09" w:themeFill="accent2" w:themeFillShade="BF"/>
      </w:tcPr>
    </w:tblStylePr>
    <w:tblStylePr w:type="band1Horz">
      <w:tblPr/>
      <w:tcPr>
        <w:tcBorders>
          <w:top w:val="nil"/>
          <w:left w:val="nil"/>
          <w:bottom w:val="nil"/>
          <w:right w:val="nil"/>
          <w:insideH w:val="nil"/>
          <w:insideV w:val="nil"/>
        </w:tcBorders>
        <w:shd w:val="clear" w:color="auto" w:fill="A24A09"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5A811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0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360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36011" w:themeFill="accent3" w:themeFillShade="BF"/>
      </w:tcPr>
    </w:tblStylePr>
    <w:tblStylePr w:type="band1Vert">
      <w:tblPr/>
      <w:tcPr>
        <w:tcBorders>
          <w:top w:val="nil"/>
          <w:left w:val="nil"/>
          <w:bottom w:val="nil"/>
          <w:right w:val="nil"/>
          <w:insideH w:val="nil"/>
          <w:insideV w:val="nil"/>
        </w:tcBorders>
        <w:shd w:val="clear" w:color="auto" w:fill="436011" w:themeFill="accent3" w:themeFillShade="BF"/>
      </w:tcPr>
    </w:tblStylePr>
    <w:tblStylePr w:type="band1Horz">
      <w:tblPr/>
      <w:tcPr>
        <w:tcBorders>
          <w:top w:val="nil"/>
          <w:left w:val="nil"/>
          <w:bottom w:val="nil"/>
          <w:right w:val="nil"/>
          <w:insideH w:val="nil"/>
          <w:insideV w:val="nil"/>
        </w:tcBorders>
        <w:shd w:val="clear" w:color="auto" w:fill="436011"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6234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190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9260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9260D" w:themeFill="accent5" w:themeFillShade="BF"/>
      </w:tcPr>
    </w:tblStylePr>
    <w:tblStylePr w:type="band1Vert">
      <w:tblPr/>
      <w:tcPr>
        <w:tcBorders>
          <w:top w:val="nil"/>
          <w:left w:val="nil"/>
          <w:bottom w:val="nil"/>
          <w:right w:val="nil"/>
          <w:insideH w:val="nil"/>
          <w:insideV w:val="nil"/>
        </w:tcBorders>
        <w:shd w:val="clear" w:color="auto" w:fill="49260D" w:themeFill="accent5" w:themeFillShade="BF"/>
      </w:tcPr>
    </w:tblStylePr>
    <w:tblStylePr w:type="band1Horz">
      <w:tblPr/>
      <w:tcPr>
        <w:tcBorders>
          <w:top w:val="nil"/>
          <w:left w:val="nil"/>
          <w:bottom w:val="nil"/>
          <w:right w:val="nil"/>
          <w:insideH w:val="nil"/>
          <w:insideV w:val="nil"/>
        </w:tcBorders>
        <w:shd w:val="clear" w:color="auto" w:fill="49260D"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9E65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2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B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B22" w:themeFill="accent6" w:themeFillShade="BF"/>
      </w:tcPr>
    </w:tblStylePr>
    <w:tblStylePr w:type="band1Vert">
      <w:tblPr/>
      <w:tcPr>
        <w:tcBorders>
          <w:top w:val="nil"/>
          <w:left w:val="nil"/>
          <w:bottom w:val="nil"/>
          <w:right w:val="nil"/>
          <w:insideH w:val="nil"/>
          <w:insideV w:val="nil"/>
        </w:tcBorders>
        <w:shd w:val="clear" w:color="auto" w:fill="764B22" w:themeFill="accent6" w:themeFillShade="BF"/>
      </w:tcPr>
    </w:tblStylePr>
    <w:tblStylePr w:type="band1Horz">
      <w:tblPr/>
      <w:tcPr>
        <w:tcBorders>
          <w:top w:val="nil"/>
          <w:left w:val="nil"/>
          <w:bottom w:val="nil"/>
          <w:right w:val="nil"/>
          <w:insideH w:val="nil"/>
          <w:insideV w:val="nil"/>
        </w:tcBorders>
        <w:shd w:val="clear" w:color="auto" w:fill="764B22"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tblBorders>
    </w:tblPr>
    <w:tblStylePr w:type="firstRow">
      <w:pPr>
        <w:spacing w:before="0" w:after="0" w:line="240" w:lineRule="auto"/>
      </w:pPr>
      <w:rPr>
        <w:b/>
        <w:bCs/>
        <w:color w:val="FFFFFF" w:themeColor="background1"/>
      </w:rPr>
      <w:tblPr/>
      <w:tcPr>
        <w:shd w:val="clear" w:color="auto" w:fill="D9640C" w:themeFill="accent2"/>
      </w:tcPr>
    </w:tblStylePr>
    <w:tblStylePr w:type="lastRow">
      <w:pPr>
        <w:spacing w:before="0" w:after="0" w:line="240" w:lineRule="auto"/>
      </w:pPr>
      <w:rPr>
        <w:b/>
        <w:bCs/>
      </w:rPr>
      <w:tblPr/>
      <w:tcPr>
        <w:tcBorders>
          <w:top w:val="double" w:sz="6" w:space="0" w:color="D9640C" w:themeColor="accent2"/>
          <w:left w:val="single" w:sz="8" w:space="0" w:color="D9640C" w:themeColor="accent2"/>
          <w:bottom w:val="single" w:sz="8" w:space="0" w:color="D9640C" w:themeColor="accent2"/>
          <w:right w:val="single" w:sz="8" w:space="0" w:color="D9640C" w:themeColor="accent2"/>
        </w:tcBorders>
      </w:tcPr>
    </w:tblStylePr>
    <w:tblStylePr w:type="firstCol">
      <w:rPr>
        <w:b/>
        <w:bCs/>
      </w:rPr>
    </w:tblStylePr>
    <w:tblStylePr w:type="lastCol">
      <w:rPr>
        <w:b/>
        <w:bCs/>
      </w:rPr>
    </w:tblStylePr>
    <w:tblStylePr w:type="band1Vert">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tblStylePr w:type="band1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tblBorders>
    </w:tblPr>
    <w:tblStylePr w:type="firstRow">
      <w:pPr>
        <w:spacing w:before="0" w:after="0" w:line="240" w:lineRule="auto"/>
      </w:pPr>
      <w:rPr>
        <w:b/>
        <w:bCs/>
        <w:color w:val="FFFFFF" w:themeColor="background1"/>
      </w:rPr>
      <w:tblPr/>
      <w:tcPr>
        <w:shd w:val="clear" w:color="auto" w:fill="5A8117" w:themeFill="accent3"/>
      </w:tcPr>
    </w:tblStylePr>
    <w:tblStylePr w:type="lastRow">
      <w:pPr>
        <w:spacing w:before="0" w:after="0" w:line="240" w:lineRule="auto"/>
      </w:pPr>
      <w:rPr>
        <w:b/>
        <w:bCs/>
      </w:rPr>
      <w:tblPr/>
      <w:tcPr>
        <w:tcBorders>
          <w:top w:val="double" w:sz="6" w:space="0" w:color="5A8117" w:themeColor="accent3"/>
          <w:left w:val="single" w:sz="8" w:space="0" w:color="5A8117" w:themeColor="accent3"/>
          <w:bottom w:val="single" w:sz="8" w:space="0" w:color="5A8117" w:themeColor="accent3"/>
          <w:right w:val="single" w:sz="8" w:space="0" w:color="5A8117" w:themeColor="accent3"/>
        </w:tcBorders>
      </w:tcPr>
    </w:tblStylePr>
    <w:tblStylePr w:type="firstCol">
      <w:rPr>
        <w:b/>
        <w:bCs/>
      </w:rPr>
    </w:tblStylePr>
    <w:tblStylePr w:type="lastCol">
      <w:rPr>
        <w:b/>
        <w:bCs/>
      </w:rPr>
    </w:tblStylePr>
    <w:tblStylePr w:type="band1Vert">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tblStylePr w:type="band1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tblBorders>
    </w:tblPr>
    <w:tblStylePr w:type="firstRow">
      <w:pPr>
        <w:spacing w:before="0" w:after="0" w:line="240" w:lineRule="auto"/>
      </w:pPr>
      <w:rPr>
        <w:b/>
        <w:bCs/>
        <w:color w:val="FFFFFF" w:themeColor="background1"/>
      </w:rPr>
      <w:tblPr/>
      <w:tcPr>
        <w:shd w:val="clear" w:color="auto" w:fill="623412" w:themeFill="accent5"/>
      </w:tcPr>
    </w:tblStylePr>
    <w:tblStylePr w:type="lastRow">
      <w:pPr>
        <w:spacing w:before="0" w:after="0" w:line="240" w:lineRule="auto"/>
      </w:pPr>
      <w:rPr>
        <w:b/>
        <w:bCs/>
      </w:rPr>
      <w:tblPr/>
      <w:tcPr>
        <w:tcBorders>
          <w:top w:val="double" w:sz="6" w:space="0" w:color="623412" w:themeColor="accent5"/>
          <w:left w:val="single" w:sz="8" w:space="0" w:color="623412" w:themeColor="accent5"/>
          <w:bottom w:val="single" w:sz="8" w:space="0" w:color="623412" w:themeColor="accent5"/>
          <w:right w:val="single" w:sz="8" w:space="0" w:color="623412" w:themeColor="accent5"/>
        </w:tcBorders>
      </w:tcPr>
    </w:tblStylePr>
    <w:tblStylePr w:type="firstCol">
      <w:rPr>
        <w:b/>
        <w:bCs/>
      </w:rPr>
    </w:tblStylePr>
    <w:tblStylePr w:type="lastCol">
      <w:rPr>
        <w:b/>
        <w:bCs/>
      </w:rPr>
    </w:tblStylePr>
    <w:tblStylePr w:type="band1Vert">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tblStylePr w:type="band1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tblBorders>
    </w:tblPr>
    <w:tblStylePr w:type="firstRow">
      <w:pPr>
        <w:spacing w:before="0" w:after="0" w:line="240" w:lineRule="auto"/>
      </w:pPr>
      <w:rPr>
        <w:b/>
        <w:bCs/>
        <w:color w:val="FFFFFF" w:themeColor="background1"/>
      </w:rPr>
      <w:tblPr/>
      <w:tcPr>
        <w:shd w:val="clear" w:color="auto" w:fill="9E652E" w:themeFill="accent6"/>
      </w:tcPr>
    </w:tblStylePr>
    <w:tblStylePr w:type="lastRow">
      <w:pPr>
        <w:spacing w:before="0" w:after="0" w:line="240" w:lineRule="auto"/>
      </w:pPr>
      <w:rPr>
        <w:b/>
        <w:bCs/>
      </w:rPr>
      <w:tblPr/>
      <w:tcPr>
        <w:tcBorders>
          <w:top w:val="double" w:sz="6" w:space="0" w:color="9E652E" w:themeColor="accent6"/>
          <w:left w:val="single" w:sz="8" w:space="0" w:color="9E652E" w:themeColor="accent6"/>
          <w:bottom w:val="single" w:sz="8" w:space="0" w:color="9E652E" w:themeColor="accent6"/>
          <w:right w:val="single" w:sz="8" w:space="0" w:color="9E652E" w:themeColor="accent6"/>
        </w:tcBorders>
      </w:tcPr>
    </w:tblStylePr>
    <w:tblStylePr w:type="firstCol">
      <w:rPr>
        <w:b/>
        <w:bCs/>
      </w:rPr>
    </w:tblStylePr>
    <w:tblStylePr w:type="lastCol">
      <w:rPr>
        <w:b/>
        <w:bCs/>
      </w:rPr>
    </w:tblStylePr>
    <w:tblStylePr w:type="band1Vert">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tblStylePr w:type="band1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D9640C" w:themeColor="accent2"/>
        <w:left w:val="single" w:sz="8" w:space="0" w:color="D9640C" w:themeColor="accent2"/>
        <w:bottom w:val="single" w:sz="8" w:space="0" w:color="D9640C" w:themeColor="accent2"/>
        <w:right w:val="single" w:sz="8" w:space="0" w:color="D9640C" w:themeColor="accent2"/>
        <w:insideH w:val="single" w:sz="8" w:space="0" w:color="D9640C" w:themeColor="accent2"/>
        <w:insideV w:val="single" w:sz="8" w:space="0" w:color="D9640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2"/>
          <w:left w:val="single" w:sz="8" w:space="0" w:color="D9640C" w:themeColor="accent2"/>
          <w:bottom w:val="single" w:sz="18" w:space="0" w:color="D9640C" w:themeColor="accent2"/>
          <w:right w:val="single" w:sz="8" w:space="0" w:color="D9640C" w:themeColor="accent2"/>
          <w:insideH w:val="nil"/>
          <w:insideV w:val="single" w:sz="8" w:space="0" w:color="D9640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2"/>
          <w:left w:val="single" w:sz="8" w:space="0" w:color="D9640C" w:themeColor="accent2"/>
          <w:bottom w:val="single" w:sz="8" w:space="0" w:color="D9640C" w:themeColor="accent2"/>
          <w:right w:val="single" w:sz="8" w:space="0" w:color="D9640C" w:themeColor="accent2"/>
          <w:insideH w:val="nil"/>
          <w:insideV w:val="single" w:sz="8" w:space="0" w:color="D9640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tcPr>
    </w:tblStylePr>
    <w:tblStylePr w:type="band1Vert">
      <w:tblPr/>
      <w:tcPr>
        <w:tcBorders>
          <w:top w:val="single" w:sz="8" w:space="0" w:color="D9640C" w:themeColor="accent2"/>
          <w:left w:val="single" w:sz="8" w:space="0" w:color="D9640C" w:themeColor="accent2"/>
          <w:bottom w:val="single" w:sz="8" w:space="0" w:color="D9640C" w:themeColor="accent2"/>
          <w:right w:val="single" w:sz="8" w:space="0" w:color="D9640C" w:themeColor="accent2"/>
        </w:tcBorders>
        <w:shd w:val="clear" w:color="auto" w:fill="FBD7BC" w:themeFill="accent2" w:themeFillTint="3F"/>
      </w:tcPr>
    </w:tblStylePr>
    <w:tblStylePr w:type="band1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insideV w:val="single" w:sz="8" w:space="0" w:color="D9640C" w:themeColor="accent2"/>
        </w:tcBorders>
        <w:shd w:val="clear" w:color="auto" w:fill="FBD7BC" w:themeFill="accent2" w:themeFillTint="3F"/>
      </w:tcPr>
    </w:tblStylePr>
    <w:tblStylePr w:type="band2Horz">
      <w:tblPr/>
      <w:tcPr>
        <w:tcBorders>
          <w:top w:val="single" w:sz="8" w:space="0" w:color="D9640C" w:themeColor="accent2"/>
          <w:left w:val="single" w:sz="8" w:space="0" w:color="D9640C" w:themeColor="accent2"/>
          <w:bottom w:val="single" w:sz="8" w:space="0" w:color="D9640C" w:themeColor="accent2"/>
          <w:right w:val="single" w:sz="8" w:space="0" w:color="D9640C" w:themeColor="accent2"/>
          <w:insideV w:val="single" w:sz="8" w:space="0" w:color="D9640C"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5A8117" w:themeColor="accent3"/>
        <w:left w:val="single" w:sz="8" w:space="0" w:color="5A8117" w:themeColor="accent3"/>
        <w:bottom w:val="single" w:sz="8" w:space="0" w:color="5A8117" w:themeColor="accent3"/>
        <w:right w:val="single" w:sz="8" w:space="0" w:color="5A8117" w:themeColor="accent3"/>
        <w:insideH w:val="single" w:sz="8" w:space="0" w:color="5A8117" w:themeColor="accent3"/>
        <w:insideV w:val="single" w:sz="8" w:space="0" w:color="5A811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8117" w:themeColor="accent3"/>
          <w:left w:val="single" w:sz="8" w:space="0" w:color="5A8117" w:themeColor="accent3"/>
          <w:bottom w:val="single" w:sz="18" w:space="0" w:color="5A8117" w:themeColor="accent3"/>
          <w:right w:val="single" w:sz="8" w:space="0" w:color="5A8117" w:themeColor="accent3"/>
          <w:insideH w:val="nil"/>
          <w:insideV w:val="single" w:sz="8" w:space="0" w:color="5A811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8117" w:themeColor="accent3"/>
          <w:left w:val="single" w:sz="8" w:space="0" w:color="5A8117" w:themeColor="accent3"/>
          <w:bottom w:val="single" w:sz="8" w:space="0" w:color="5A8117" w:themeColor="accent3"/>
          <w:right w:val="single" w:sz="8" w:space="0" w:color="5A8117" w:themeColor="accent3"/>
          <w:insideH w:val="nil"/>
          <w:insideV w:val="single" w:sz="8" w:space="0" w:color="5A811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tcPr>
    </w:tblStylePr>
    <w:tblStylePr w:type="band1Vert">
      <w:tblPr/>
      <w:tcPr>
        <w:tcBorders>
          <w:top w:val="single" w:sz="8" w:space="0" w:color="5A8117" w:themeColor="accent3"/>
          <w:left w:val="single" w:sz="8" w:space="0" w:color="5A8117" w:themeColor="accent3"/>
          <w:bottom w:val="single" w:sz="8" w:space="0" w:color="5A8117" w:themeColor="accent3"/>
          <w:right w:val="single" w:sz="8" w:space="0" w:color="5A8117" w:themeColor="accent3"/>
        </w:tcBorders>
        <w:shd w:val="clear" w:color="auto" w:fill="DAF1B3" w:themeFill="accent3" w:themeFillTint="3F"/>
      </w:tcPr>
    </w:tblStylePr>
    <w:tblStylePr w:type="band1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insideV w:val="single" w:sz="8" w:space="0" w:color="5A8117" w:themeColor="accent3"/>
        </w:tcBorders>
        <w:shd w:val="clear" w:color="auto" w:fill="DAF1B3" w:themeFill="accent3" w:themeFillTint="3F"/>
      </w:tcPr>
    </w:tblStylePr>
    <w:tblStylePr w:type="band2Horz">
      <w:tblPr/>
      <w:tcPr>
        <w:tcBorders>
          <w:top w:val="single" w:sz="8" w:space="0" w:color="5A8117" w:themeColor="accent3"/>
          <w:left w:val="single" w:sz="8" w:space="0" w:color="5A8117" w:themeColor="accent3"/>
          <w:bottom w:val="single" w:sz="8" w:space="0" w:color="5A8117" w:themeColor="accent3"/>
          <w:right w:val="single" w:sz="8" w:space="0" w:color="5A8117" w:themeColor="accent3"/>
          <w:insideV w:val="single" w:sz="8" w:space="0" w:color="5A8117"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623412" w:themeColor="accent5"/>
        <w:left w:val="single" w:sz="8" w:space="0" w:color="623412" w:themeColor="accent5"/>
        <w:bottom w:val="single" w:sz="8" w:space="0" w:color="623412" w:themeColor="accent5"/>
        <w:right w:val="single" w:sz="8" w:space="0" w:color="623412" w:themeColor="accent5"/>
        <w:insideH w:val="single" w:sz="8" w:space="0" w:color="623412" w:themeColor="accent5"/>
        <w:insideV w:val="single" w:sz="8" w:space="0" w:color="6234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3412" w:themeColor="accent5"/>
          <w:left w:val="single" w:sz="8" w:space="0" w:color="623412" w:themeColor="accent5"/>
          <w:bottom w:val="single" w:sz="18" w:space="0" w:color="623412" w:themeColor="accent5"/>
          <w:right w:val="single" w:sz="8" w:space="0" w:color="623412" w:themeColor="accent5"/>
          <w:insideH w:val="nil"/>
          <w:insideV w:val="single" w:sz="8" w:space="0" w:color="6234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3412" w:themeColor="accent5"/>
          <w:left w:val="single" w:sz="8" w:space="0" w:color="623412" w:themeColor="accent5"/>
          <w:bottom w:val="single" w:sz="8" w:space="0" w:color="623412" w:themeColor="accent5"/>
          <w:right w:val="single" w:sz="8" w:space="0" w:color="623412" w:themeColor="accent5"/>
          <w:insideH w:val="nil"/>
          <w:insideV w:val="single" w:sz="8" w:space="0" w:color="6234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tcPr>
    </w:tblStylePr>
    <w:tblStylePr w:type="band1Vert">
      <w:tblPr/>
      <w:tcPr>
        <w:tcBorders>
          <w:top w:val="single" w:sz="8" w:space="0" w:color="623412" w:themeColor="accent5"/>
          <w:left w:val="single" w:sz="8" w:space="0" w:color="623412" w:themeColor="accent5"/>
          <w:bottom w:val="single" w:sz="8" w:space="0" w:color="623412" w:themeColor="accent5"/>
          <w:right w:val="single" w:sz="8" w:space="0" w:color="623412" w:themeColor="accent5"/>
        </w:tcBorders>
        <w:shd w:val="clear" w:color="auto" w:fill="F0C8AC" w:themeFill="accent5" w:themeFillTint="3F"/>
      </w:tcPr>
    </w:tblStylePr>
    <w:tblStylePr w:type="band1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insideV w:val="single" w:sz="8" w:space="0" w:color="623412" w:themeColor="accent5"/>
        </w:tcBorders>
        <w:shd w:val="clear" w:color="auto" w:fill="F0C8AC" w:themeFill="accent5" w:themeFillTint="3F"/>
      </w:tcPr>
    </w:tblStylePr>
    <w:tblStylePr w:type="band2Horz">
      <w:tblPr/>
      <w:tcPr>
        <w:tcBorders>
          <w:top w:val="single" w:sz="8" w:space="0" w:color="623412" w:themeColor="accent5"/>
          <w:left w:val="single" w:sz="8" w:space="0" w:color="623412" w:themeColor="accent5"/>
          <w:bottom w:val="single" w:sz="8" w:space="0" w:color="623412" w:themeColor="accent5"/>
          <w:right w:val="single" w:sz="8" w:space="0" w:color="623412" w:themeColor="accent5"/>
          <w:insideV w:val="single" w:sz="8" w:space="0" w:color="623412"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9E652E" w:themeColor="accent6"/>
        <w:left w:val="single" w:sz="8" w:space="0" w:color="9E652E" w:themeColor="accent6"/>
        <w:bottom w:val="single" w:sz="8" w:space="0" w:color="9E652E" w:themeColor="accent6"/>
        <w:right w:val="single" w:sz="8" w:space="0" w:color="9E652E" w:themeColor="accent6"/>
        <w:insideH w:val="single" w:sz="8" w:space="0" w:color="9E652E" w:themeColor="accent6"/>
        <w:insideV w:val="single" w:sz="8" w:space="0" w:color="9E65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652E" w:themeColor="accent6"/>
          <w:left w:val="single" w:sz="8" w:space="0" w:color="9E652E" w:themeColor="accent6"/>
          <w:bottom w:val="single" w:sz="18" w:space="0" w:color="9E652E" w:themeColor="accent6"/>
          <w:right w:val="single" w:sz="8" w:space="0" w:color="9E652E" w:themeColor="accent6"/>
          <w:insideH w:val="nil"/>
          <w:insideV w:val="single" w:sz="8" w:space="0" w:color="9E65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652E" w:themeColor="accent6"/>
          <w:left w:val="single" w:sz="8" w:space="0" w:color="9E652E" w:themeColor="accent6"/>
          <w:bottom w:val="single" w:sz="8" w:space="0" w:color="9E652E" w:themeColor="accent6"/>
          <w:right w:val="single" w:sz="8" w:space="0" w:color="9E652E" w:themeColor="accent6"/>
          <w:insideH w:val="nil"/>
          <w:insideV w:val="single" w:sz="8" w:space="0" w:color="9E65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tcPr>
    </w:tblStylePr>
    <w:tblStylePr w:type="band1Vert">
      <w:tblPr/>
      <w:tcPr>
        <w:tcBorders>
          <w:top w:val="single" w:sz="8" w:space="0" w:color="9E652E" w:themeColor="accent6"/>
          <w:left w:val="single" w:sz="8" w:space="0" w:color="9E652E" w:themeColor="accent6"/>
          <w:bottom w:val="single" w:sz="8" w:space="0" w:color="9E652E" w:themeColor="accent6"/>
          <w:right w:val="single" w:sz="8" w:space="0" w:color="9E652E" w:themeColor="accent6"/>
        </w:tcBorders>
        <w:shd w:val="clear" w:color="auto" w:fill="EED8C4" w:themeFill="accent6" w:themeFillTint="3F"/>
      </w:tcPr>
    </w:tblStylePr>
    <w:tblStylePr w:type="band1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insideV w:val="single" w:sz="8" w:space="0" w:color="9E652E" w:themeColor="accent6"/>
        </w:tcBorders>
        <w:shd w:val="clear" w:color="auto" w:fill="EED8C4" w:themeFill="accent6" w:themeFillTint="3F"/>
      </w:tcPr>
    </w:tblStylePr>
    <w:tblStylePr w:type="band2Horz">
      <w:tblPr/>
      <w:tcPr>
        <w:tcBorders>
          <w:top w:val="single" w:sz="8" w:space="0" w:color="9E652E" w:themeColor="accent6"/>
          <w:left w:val="single" w:sz="8" w:space="0" w:color="9E652E" w:themeColor="accent6"/>
          <w:bottom w:val="single" w:sz="8" w:space="0" w:color="9E652E" w:themeColor="accent6"/>
          <w:right w:val="single" w:sz="8" w:space="0" w:color="9E652E" w:themeColor="accent6"/>
          <w:insideV w:val="single" w:sz="8" w:space="0" w:color="9E652E"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A24A09" w:themeColor="accent2" w:themeShade="BF"/>
    </w:rPr>
    <w:tblPr>
      <w:tblStyleRowBandSize w:val="1"/>
      <w:tblStyleColBandSize w:val="1"/>
      <w:tblBorders>
        <w:top w:val="single" w:sz="8" w:space="0" w:color="D9640C" w:themeColor="accent2"/>
        <w:bottom w:val="single" w:sz="8" w:space="0" w:color="D9640C" w:themeColor="accent2"/>
      </w:tblBorders>
    </w:tblPr>
    <w:tblStylePr w:type="firstRow">
      <w:pPr>
        <w:spacing w:before="0" w:after="0" w:line="240" w:lineRule="auto"/>
      </w:pPr>
      <w:rPr>
        <w:b/>
        <w:bCs/>
      </w:rPr>
      <w:tblPr/>
      <w:tcPr>
        <w:tcBorders>
          <w:top w:val="single" w:sz="8" w:space="0" w:color="D9640C" w:themeColor="accent2"/>
          <w:left w:val="nil"/>
          <w:bottom w:val="single" w:sz="8" w:space="0" w:color="D9640C" w:themeColor="accent2"/>
          <w:right w:val="nil"/>
          <w:insideH w:val="nil"/>
          <w:insideV w:val="nil"/>
        </w:tcBorders>
      </w:tcPr>
    </w:tblStylePr>
    <w:tblStylePr w:type="lastRow">
      <w:pPr>
        <w:spacing w:before="0" w:after="0" w:line="240" w:lineRule="auto"/>
      </w:pPr>
      <w:rPr>
        <w:b/>
        <w:bCs/>
      </w:rPr>
      <w:tblPr/>
      <w:tcPr>
        <w:tcBorders>
          <w:top w:val="single" w:sz="8" w:space="0" w:color="D9640C" w:themeColor="accent2"/>
          <w:left w:val="nil"/>
          <w:bottom w:val="single" w:sz="8" w:space="0" w:color="D9640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2" w:themeFillTint="3F"/>
      </w:tcPr>
    </w:tblStylePr>
    <w:tblStylePr w:type="band1Horz">
      <w:tblPr/>
      <w:tcPr>
        <w:tcBorders>
          <w:left w:val="nil"/>
          <w:right w:val="nil"/>
          <w:insideH w:val="nil"/>
          <w:insideV w:val="nil"/>
        </w:tcBorders>
        <w:shd w:val="clear" w:color="auto" w:fill="FBD7BC" w:themeFill="accent2" w:themeFillTint="3F"/>
      </w:tcPr>
    </w:tblStylePr>
  </w:style>
  <w:style w:type="table" w:styleId="Vaaleavarjostus-korostus3">
    <w:name w:val="Light Shading Accent 3"/>
    <w:basedOn w:val="Normaalitaulukko"/>
    <w:uiPriority w:val="60"/>
    <w:rsid w:val="00A425FE"/>
    <w:pPr>
      <w:spacing w:after="0" w:line="240" w:lineRule="auto"/>
    </w:pPr>
    <w:rPr>
      <w:color w:val="436011" w:themeColor="accent3" w:themeShade="BF"/>
    </w:rPr>
    <w:tblPr>
      <w:tblStyleRowBandSize w:val="1"/>
      <w:tblStyleColBandSize w:val="1"/>
      <w:tblBorders>
        <w:top w:val="single" w:sz="8" w:space="0" w:color="5A8117" w:themeColor="accent3"/>
        <w:bottom w:val="single" w:sz="8" w:space="0" w:color="5A8117" w:themeColor="accent3"/>
      </w:tblBorders>
    </w:tblPr>
    <w:tblStylePr w:type="firstRow">
      <w:pPr>
        <w:spacing w:before="0" w:after="0" w:line="240" w:lineRule="auto"/>
      </w:pPr>
      <w:rPr>
        <w:b/>
        <w:bCs/>
      </w:rPr>
      <w:tblPr/>
      <w:tcPr>
        <w:tcBorders>
          <w:top w:val="single" w:sz="8" w:space="0" w:color="5A8117" w:themeColor="accent3"/>
          <w:left w:val="nil"/>
          <w:bottom w:val="single" w:sz="8" w:space="0" w:color="5A8117" w:themeColor="accent3"/>
          <w:right w:val="nil"/>
          <w:insideH w:val="nil"/>
          <w:insideV w:val="nil"/>
        </w:tcBorders>
      </w:tcPr>
    </w:tblStylePr>
    <w:tblStylePr w:type="lastRow">
      <w:pPr>
        <w:spacing w:before="0" w:after="0" w:line="240" w:lineRule="auto"/>
      </w:pPr>
      <w:rPr>
        <w:b/>
        <w:bCs/>
      </w:rPr>
      <w:tblPr/>
      <w:tcPr>
        <w:tcBorders>
          <w:top w:val="single" w:sz="8" w:space="0" w:color="5A8117" w:themeColor="accent3"/>
          <w:left w:val="nil"/>
          <w:bottom w:val="single" w:sz="8" w:space="0" w:color="5A811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1B3" w:themeFill="accent3" w:themeFillTint="3F"/>
      </w:tcPr>
    </w:tblStylePr>
    <w:tblStylePr w:type="band1Horz">
      <w:tblPr/>
      <w:tcPr>
        <w:tcBorders>
          <w:left w:val="nil"/>
          <w:right w:val="nil"/>
          <w:insideH w:val="nil"/>
          <w:insideV w:val="nil"/>
        </w:tcBorders>
        <w:shd w:val="clear" w:color="auto" w:fill="DAF1B3"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9260D" w:themeColor="accent5" w:themeShade="BF"/>
    </w:rPr>
    <w:tblPr>
      <w:tblStyleRowBandSize w:val="1"/>
      <w:tblStyleColBandSize w:val="1"/>
      <w:tblBorders>
        <w:top w:val="single" w:sz="8" w:space="0" w:color="623412" w:themeColor="accent5"/>
        <w:bottom w:val="single" w:sz="8" w:space="0" w:color="623412" w:themeColor="accent5"/>
      </w:tblBorders>
    </w:tblPr>
    <w:tblStylePr w:type="firstRow">
      <w:pPr>
        <w:spacing w:before="0" w:after="0" w:line="240" w:lineRule="auto"/>
      </w:pPr>
      <w:rPr>
        <w:b/>
        <w:bCs/>
      </w:rPr>
      <w:tblPr/>
      <w:tcPr>
        <w:tcBorders>
          <w:top w:val="single" w:sz="8" w:space="0" w:color="623412" w:themeColor="accent5"/>
          <w:left w:val="nil"/>
          <w:bottom w:val="single" w:sz="8" w:space="0" w:color="623412" w:themeColor="accent5"/>
          <w:right w:val="nil"/>
          <w:insideH w:val="nil"/>
          <w:insideV w:val="nil"/>
        </w:tcBorders>
      </w:tcPr>
    </w:tblStylePr>
    <w:tblStylePr w:type="lastRow">
      <w:pPr>
        <w:spacing w:before="0" w:after="0" w:line="240" w:lineRule="auto"/>
      </w:pPr>
      <w:rPr>
        <w:b/>
        <w:bCs/>
      </w:rPr>
      <w:tblPr/>
      <w:tcPr>
        <w:tcBorders>
          <w:top w:val="single" w:sz="8" w:space="0" w:color="623412" w:themeColor="accent5"/>
          <w:left w:val="nil"/>
          <w:bottom w:val="single" w:sz="8" w:space="0" w:color="6234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8AC" w:themeFill="accent5" w:themeFillTint="3F"/>
      </w:tcPr>
    </w:tblStylePr>
    <w:tblStylePr w:type="band1Horz">
      <w:tblPr/>
      <w:tcPr>
        <w:tcBorders>
          <w:left w:val="nil"/>
          <w:right w:val="nil"/>
          <w:insideH w:val="nil"/>
          <w:insideV w:val="nil"/>
        </w:tcBorders>
        <w:shd w:val="clear" w:color="auto" w:fill="F0C8AC" w:themeFill="accent5" w:themeFillTint="3F"/>
      </w:tcPr>
    </w:tblStylePr>
  </w:style>
  <w:style w:type="table" w:styleId="Vaaleavarjostus-korostus6">
    <w:name w:val="Light Shading Accent 6"/>
    <w:basedOn w:val="Normaalitaulukko"/>
    <w:uiPriority w:val="60"/>
    <w:rsid w:val="00A425FE"/>
    <w:pPr>
      <w:spacing w:after="0" w:line="240" w:lineRule="auto"/>
    </w:pPr>
    <w:rPr>
      <w:color w:val="764B22" w:themeColor="accent6" w:themeShade="BF"/>
    </w:rPr>
    <w:tblPr>
      <w:tblStyleRowBandSize w:val="1"/>
      <w:tblStyleColBandSize w:val="1"/>
      <w:tblBorders>
        <w:top w:val="single" w:sz="8" w:space="0" w:color="9E652E" w:themeColor="accent6"/>
        <w:bottom w:val="single" w:sz="8" w:space="0" w:color="9E652E" w:themeColor="accent6"/>
      </w:tblBorders>
    </w:tblPr>
    <w:tblStylePr w:type="firstRow">
      <w:pPr>
        <w:spacing w:before="0" w:after="0" w:line="240" w:lineRule="auto"/>
      </w:pPr>
      <w:rPr>
        <w:b/>
        <w:bCs/>
      </w:rPr>
      <w:tblPr/>
      <w:tcPr>
        <w:tcBorders>
          <w:top w:val="single" w:sz="8" w:space="0" w:color="9E652E" w:themeColor="accent6"/>
          <w:left w:val="nil"/>
          <w:bottom w:val="single" w:sz="8" w:space="0" w:color="9E652E" w:themeColor="accent6"/>
          <w:right w:val="nil"/>
          <w:insideH w:val="nil"/>
          <w:insideV w:val="nil"/>
        </w:tcBorders>
      </w:tcPr>
    </w:tblStylePr>
    <w:tblStylePr w:type="lastRow">
      <w:pPr>
        <w:spacing w:before="0" w:after="0" w:line="240" w:lineRule="auto"/>
      </w:pPr>
      <w:rPr>
        <w:b/>
        <w:bCs/>
      </w:rPr>
      <w:tblPr/>
      <w:tcPr>
        <w:tcBorders>
          <w:top w:val="single" w:sz="8" w:space="0" w:color="9E652E" w:themeColor="accent6"/>
          <w:left w:val="nil"/>
          <w:bottom w:val="single" w:sz="8" w:space="0" w:color="9E65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8C4" w:themeFill="accent6" w:themeFillTint="3F"/>
      </w:tcPr>
    </w:tblStylePr>
    <w:tblStylePr w:type="band1Horz">
      <w:tblPr/>
      <w:tcPr>
        <w:tcBorders>
          <w:left w:val="nil"/>
          <w:right w:val="nil"/>
          <w:insideH w:val="nil"/>
          <w:insideV w:val="nil"/>
        </w:tcBorders>
        <w:shd w:val="clear" w:color="auto" w:fill="EED8C4"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2" w:themeFillTint="19"/>
    </w:tcPr>
    <w:tblStylePr w:type="firstRow">
      <w:rPr>
        <w:b/>
        <w:bCs/>
        <w:color w:val="FFFFFF" w:themeColor="background1"/>
      </w:rPr>
      <w:tblPr/>
      <w:tcPr>
        <w:tcBorders>
          <w:bottom w:val="single" w:sz="12" w:space="0" w:color="FFFFFF" w:themeColor="background1"/>
        </w:tcBorders>
        <w:shd w:val="clear" w:color="auto" w:fill="AD4F09" w:themeFill="accent2" w:themeFillShade="CC"/>
      </w:tcPr>
    </w:tblStylePr>
    <w:tblStylePr w:type="lastRow">
      <w:rPr>
        <w:b/>
        <w:bCs/>
        <w:color w:val="AD4F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2" w:themeFillTint="3F"/>
      </w:tcPr>
    </w:tblStylePr>
    <w:tblStylePr w:type="band1Horz">
      <w:tblPr/>
      <w:tcPr>
        <w:shd w:val="clear" w:color="auto" w:fill="FCDFC9"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0F9E1"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1B3" w:themeFill="accent3" w:themeFillTint="3F"/>
      </w:tcPr>
    </w:tblStylePr>
    <w:tblStylePr w:type="band1Horz">
      <w:tblPr/>
      <w:tcPr>
        <w:shd w:val="clear" w:color="auto" w:fill="E1F4C2"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476612" w:themeFill="accent3" w:themeFillShade="CC"/>
      </w:tcPr>
    </w:tblStylePr>
    <w:tblStylePr w:type="lastRow">
      <w:rPr>
        <w:b/>
        <w:bCs/>
        <w:color w:val="4766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9E9DE" w:themeFill="accent5" w:themeFillTint="19"/>
    </w:tcPr>
    <w:tblStylePr w:type="firstRow">
      <w:rPr>
        <w:b/>
        <w:bCs/>
        <w:color w:val="FFFFFF" w:themeColor="background1"/>
      </w:rPr>
      <w:tblPr/>
      <w:tcPr>
        <w:tcBorders>
          <w:bottom w:val="single" w:sz="12" w:space="0" w:color="FFFFFF" w:themeColor="background1"/>
        </w:tcBorders>
        <w:shd w:val="clear" w:color="auto" w:fill="7E5024" w:themeFill="accent6" w:themeFillShade="CC"/>
      </w:tcPr>
    </w:tblStylePr>
    <w:tblStylePr w:type="lastRow">
      <w:rPr>
        <w:b/>
        <w:bCs/>
        <w:color w:val="7E50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8AC" w:themeFill="accent5" w:themeFillTint="3F"/>
      </w:tcPr>
    </w:tblStylePr>
    <w:tblStylePr w:type="band1Horz">
      <w:tblPr/>
      <w:tcPr>
        <w:shd w:val="clear" w:color="auto" w:fill="F2D3BC"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8EFE7" w:themeFill="accent6" w:themeFillTint="19"/>
    </w:tcPr>
    <w:tblStylePr w:type="firstRow">
      <w:rPr>
        <w:b/>
        <w:bCs/>
        <w:color w:val="FFFFFF" w:themeColor="background1"/>
      </w:rPr>
      <w:tblPr/>
      <w:tcPr>
        <w:tcBorders>
          <w:bottom w:val="single" w:sz="12" w:space="0" w:color="FFFFFF" w:themeColor="background1"/>
        </w:tcBorders>
        <w:shd w:val="clear" w:color="auto" w:fill="4E290E" w:themeFill="accent5" w:themeFillShade="CC"/>
      </w:tcPr>
    </w:tblStylePr>
    <w:tblStylePr w:type="lastRow">
      <w:rPr>
        <w:b/>
        <w:bCs/>
        <w:color w:val="4E290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8C4" w:themeFill="accent6" w:themeFillTint="3F"/>
      </w:tcPr>
    </w:tblStylePr>
    <w:tblStylePr w:type="band1Horz">
      <w:tblPr/>
      <w:tcPr>
        <w:shd w:val="clear" w:color="auto" w:fill="F1E0CF"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2" w:themeFillTint="33"/>
    </w:tcPr>
    <w:tblStylePr w:type="firstRow">
      <w:rPr>
        <w:b/>
        <w:bCs/>
      </w:rPr>
      <w:tblPr/>
      <w:tcPr>
        <w:shd w:val="clear" w:color="auto" w:fill="F9BF94" w:themeFill="accent2" w:themeFillTint="66"/>
      </w:tcPr>
    </w:tblStylePr>
    <w:tblStylePr w:type="lastRow">
      <w:rPr>
        <w:b/>
        <w:bCs/>
        <w:color w:val="000000" w:themeColor="text1"/>
      </w:rPr>
      <w:tblPr/>
      <w:tcPr>
        <w:shd w:val="clear" w:color="auto" w:fill="F9BF94" w:themeFill="accent2" w:themeFillTint="66"/>
      </w:tcPr>
    </w:tblStylePr>
    <w:tblStylePr w:type="firstCol">
      <w:rPr>
        <w:color w:val="FFFFFF" w:themeColor="background1"/>
      </w:rPr>
      <w:tblPr/>
      <w:tcPr>
        <w:shd w:val="clear" w:color="auto" w:fill="A24A09" w:themeFill="accent2" w:themeFillShade="BF"/>
      </w:tcPr>
    </w:tblStylePr>
    <w:tblStylePr w:type="lastCol">
      <w:rPr>
        <w:color w:val="FFFFFF" w:themeColor="background1"/>
      </w:rPr>
      <w:tblPr/>
      <w:tcPr>
        <w:shd w:val="clear" w:color="auto" w:fill="A24A09" w:themeFill="accent2" w:themeFillShade="BF"/>
      </w:tcPr>
    </w:tblStylePr>
    <w:tblStylePr w:type="band1Vert">
      <w:tblPr/>
      <w:tcPr>
        <w:shd w:val="clear" w:color="auto" w:fill="F7AF7A" w:themeFill="accent2" w:themeFillTint="7F"/>
      </w:tcPr>
    </w:tblStylePr>
    <w:tblStylePr w:type="band1Horz">
      <w:tblPr/>
      <w:tcPr>
        <w:shd w:val="clear" w:color="auto" w:fill="F7AF7A"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4C2" w:themeFill="accent3" w:themeFillTint="33"/>
    </w:tcPr>
    <w:tblStylePr w:type="firstRow">
      <w:rPr>
        <w:b/>
        <w:bCs/>
      </w:rPr>
      <w:tblPr/>
      <w:tcPr>
        <w:shd w:val="clear" w:color="auto" w:fill="C4E985" w:themeFill="accent3" w:themeFillTint="66"/>
      </w:tcPr>
    </w:tblStylePr>
    <w:tblStylePr w:type="lastRow">
      <w:rPr>
        <w:b/>
        <w:bCs/>
        <w:color w:val="000000" w:themeColor="text1"/>
      </w:rPr>
      <w:tblPr/>
      <w:tcPr>
        <w:shd w:val="clear" w:color="auto" w:fill="C4E985" w:themeFill="accent3" w:themeFillTint="66"/>
      </w:tcPr>
    </w:tblStylePr>
    <w:tblStylePr w:type="firstCol">
      <w:rPr>
        <w:color w:val="FFFFFF" w:themeColor="background1"/>
      </w:rPr>
      <w:tblPr/>
      <w:tcPr>
        <w:shd w:val="clear" w:color="auto" w:fill="436011" w:themeFill="accent3" w:themeFillShade="BF"/>
      </w:tcPr>
    </w:tblStylePr>
    <w:tblStylePr w:type="lastCol">
      <w:rPr>
        <w:color w:val="FFFFFF" w:themeColor="background1"/>
      </w:rPr>
      <w:tblPr/>
      <w:tcPr>
        <w:shd w:val="clear" w:color="auto" w:fill="436011" w:themeFill="accent3" w:themeFillShade="BF"/>
      </w:tcPr>
    </w:tblStylePr>
    <w:tblStylePr w:type="band1Vert">
      <w:tblPr/>
      <w:tcPr>
        <w:shd w:val="clear" w:color="auto" w:fill="B6E467" w:themeFill="accent3" w:themeFillTint="7F"/>
      </w:tcPr>
    </w:tblStylePr>
    <w:tblStylePr w:type="band1Horz">
      <w:tblPr/>
      <w:tcPr>
        <w:shd w:val="clear" w:color="auto" w:fill="B6E467"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3BC" w:themeFill="accent5" w:themeFillTint="33"/>
    </w:tcPr>
    <w:tblStylePr w:type="firstRow">
      <w:rPr>
        <w:b/>
        <w:bCs/>
      </w:rPr>
      <w:tblPr/>
      <w:tcPr>
        <w:shd w:val="clear" w:color="auto" w:fill="E6A779" w:themeFill="accent5" w:themeFillTint="66"/>
      </w:tcPr>
    </w:tblStylePr>
    <w:tblStylePr w:type="lastRow">
      <w:rPr>
        <w:b/>
        <w:bCs/>
        <w:color w:val="000000" w:themeColor="text1"/>
      </w:rPr>
      <w:tblPr/>
      <w:tcPr>
        <w:shd w:val="clear" w:color="auto" w:fill="E6A779" w:themeFill="accent5" w:themeFillTint="66"/>
      </w:tcPr>
    </w:tblStylePr>
    <w:tblStylePr w:type="firstCol">
      <w:rPr>
        <w:color w:val="FFFFFF" w:themeColor="background1"/>
      </w:rPr>
      <w:tblPr/>
      <w:tcPr>
        <w:shd w:val="clear" w:color="auto" w:fill="49260D" w:themeFill="accent5" w:themeFillShade="BF"/>
      </w:tcPr>
    </w:tblStylePr>
    <w:tblStylePr w:type="lastCol">
      <w:rPr>
        <w:color w:val="FFFFFF" w:themeColor="background1"/>
      </w:rPr>
      <w:tblPr/>
      <w:tcPr>
        <w:shd w:val="clear" w:color="auto" w:fill="49260D" w:themeFill="accent5" w:themeFillShade="BF"/>
      </w:tcPr>
    </w:tblStylePr>
    <w:tblStylePr w:type="band1Vert">
      <w:tblPr/>
      <w:tcPr>
        <w:shd w:val="clear" w:color="auto" w:fill="E09259" w:themeFill="accent5" w:themeFillTint="7F"/>
      </w:tcPr>
    </w:tblStylePr>
    <w:tblStylePr w:type="band1Horz">
      <w:tblPr/>
      <w:tcPr>
        <w:shd w:val="clear" w:color="auto" w:fill="E09259"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E0CF" w:themeFill="accent6" w:themeFillTint="33"/>
    </w:tcPr>
    <w:tblStylePr w:type="firstRow">
      <w:rPr>
        <w:b/>
        <w:bCs/>
      </w:rPr>
      <w:tblPr/>
      <w:tcPr>
        <w:shd w:val="clear" w:color="auto" w:fill="E3C19F" w:themeFill="accent6" w:themeFillTint="66"/>
      </w:tcPr>
    </w:tblStylePr>
    <w:tblStylePr w:type="lastRow">
      <w:rPr>
        <w:b/>
        <w:bCs/>
        <w:color w:val="000000" w:themeColor="text1"/>
      </w:rPr>
      <w:tblPr/>
      <w:tcPr>
        <w:shd w:val="clear" w:color="auto" w:fill="E3C19F" w:themeFill="accent6" w:themeFillTint="66"/>
      </w:tcPr>
    </w:tblStylePr>
    <w:tblStylePr w:type="firstCol">
      <w:rPr>
        <w:color w:val="FFFFFF" w:themeColor="background1"/>
      </w:rPr>
      <w:tblPr/>
      <w:tcPr>
        <w:shd w:val="clear" w:color="auto" w:fill="764B22" w:themeFill="accent6" w:themeFillShade="BF"/>
      </w:tcPr>
    </w:tblStylePr>
    <w:tblStylePr w:type="lastCol">
      <w:rPr>
        <w:color w:val="FFFFFF" w:themeColor="background1"/>
      </w:rPr>
      <w:tblPr/>
      <w:tcPr>
        <w:shd w:val="clear" w:color="auto" w:fill="764B22" w:themeFill="accent6" w:themeFillShade="BF"/>
      </w:tcPr>
    </w:tblStylePr>
    <w:tblStylePr w:type="band1Vert">
      <w:tblPr/>
      <w:tcPr>
        <w:shd w:val="clear" w:color="auto" w:fill="DCB188" w:themeFill="accent6" w:themeFillTint="7F"/>
      </w:tcPr>
    </w:tblStylePr>
    <w:tblStylePr w:type="band1Horz">
      <w:tblPr/>
      <w:tcPr>
        <w:shd w:val="clear" w:color="auto" w:fill="DCB188"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2"/>
        <w:left w:val="single" w:sz="4" w:space="0" w:color="D9640C" w:themeColor="accent2"/>
        <w:bottom w:val="single" w:sz="4" w:space="0" w:color="D9640C" w:themeColor="accent2"/>
        <w:right w:val="single" w:sz="4" w:space="0" w:color="D9640C" w:themeColor="accent2"/>
        <w:insideH w:val="single" w:sz="4" w:space="0" w:color="FFFFFF" w:themeColor="background1"/>
        <w:insideV w:val="single" w:sz="4" w:space="0" w:color="FFFFFF" w:themeColor="background1"/>
      </w:tblBorders>
    </w:tblPr>
    <w:tcPr>
      <w:shd w:val="clear" w:color="auto" w:fill="FDEFE4" w:themeFill="accent2" w:themeFillTint="19"/>
    </w:tcPr>
    <w:tblStylePr w:type="firstRow">
      <w:rPr>
        <w:b/>
        <w:bCs/>
      </w:rPr>
      <w:tblPr/>
      <w:tcPr>
        <w:tcBorders>
          <w:top w:val="nil"/>
          <w:left w:val="nil"/>
          <w:bottom w:val="single" w:sz="24" w:space="0" w:color="D9640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2" w:themeFillShade="99"/>
      </w:tcPr>
    </w:tblStylePr>
    <w:tblStylePr w:type="firstCol">
      <w:rPr>
        <w:color w:val="FFFFFF" w:themeColor="background1"/>
      </w:rPr>
      <w:tblPr/>
      <w:tcPr>
        <w:tcBorders>
          <w:top w:val="nil"/>
          <w:left w:val="nil"/>
          <w:bottom w:val="nil"/>
          <w:right w:val="nil"/>
          <w:insideH w:val="single" w:sz="4" w:space="0" w:color="823B07" w:themeColor="accent2" w:themeShade="99"/>
          <w:insideV w:val="nil"/>
        </w:tcBorders>
        <w:shd w:val="clear" w:color="auto" w:fill="823B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2" w:themeFillShade="99"/>
      </w:tcPr>
    </w:tblStylePr>
    <w:tblStylePr w:type="band1Vert">
      <w:tblPr/>
      <w:tcPr>
        <w:shd w:val="clear" w:color="auto" w:fill="F9BF94" w:themeFill="accent2" w:themeFillTint="66"/>
      </w:tcPr>
    </w:tblStylePr>
    <w:tblStylePr w:type="band1Horz">
      <w:tblPr/>
      <w:tcPr>
        <w:shd w:val="clear" w:color="auto" w:fill="F7AF7A"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5A8117" w:themeColor="accent3"/>
        <w:bottom w:val="single" w:sz="4" w:space="0" w:color="5A8117" w:themeColor="accent3"/>
        <w:right w:val="single" w:sz="4" w:space="0" w:color="5A8117" w:themeColor="accent3"/>
        <w:insideH w:val="single" w:sz="4" w:space="0" w:color="FFFFFF" w:themeColor="background1"/>
        <w:insideV w:val="single" w:sz="4" w:space="0" w:color="FFFFFF" w:themeColor="background1"/>
      </w:tblBorders>
    </w:tblPr>
    <w:tcPr>
      <w:shd w:val="clear" w:color="auto" w:fill="F0F9E1"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D0D" w:themeFill="accent3" w:themeFillShade="99"/>
      </w:tcPr>
    </w:tblStylePr>
    <w:tblStylePr w:type="firstCol">
      <w:rPr>
        <w:color w:val="FFFFFF" w:themeColor="background1"/>
      </w:rPr>
      <w:tblPr/>
      <w:tcPr>
        <w:tcBorders>
          <w:top w:val="nil"/>
          <w:left w:val="nil"/>
          <w:bottom w:val="nil"/>
          <w:right w:val="nil"/>
          <w:insideH w:val="single" w:sz="4" w:space="0" w:color="354D0D" w:themeColor="accent3" w:themeShade="99"/>
          <w:insideV w:val="nil"/>
        </w:tcBorders>
        <w:shd w:val="clear" w:color="auto" w:fill="354D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4D0D" w:themeFill="accent3" w:themeFillShade="99"/>
      </w:tcPr>
    </w:tblStylePr>
    <w:tblStylePr w:type="band1Vert">
      <w:tblPr/>
      <w:tcPr>
        <w:shd w:val="clear" w:color="auto" w:fill="C4E985" w:themeFill="accent3" w:themeFillTint="66"/>
      </w:tcPr>
    </w:tblStylePr>
    <w:tblStylePr w:type="band1Horz">
      <w:tblPr/>
      <w:tcPr>
        <w:shd w:val="clear" w:color="auto" w:fill="B6E467"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5A8117"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5A811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9E652E" w:themeColor="accent6"/>
        <w:left w:val="single" w:sz="4" w:space="0" w:color="623412" w:themeColor="accent5"/>
        <w:bottom w:val="single" w:sz="4" w:space="0" w:color="623412" w:themeColor="accent5"/>
        <w:right w:val="single" w:sz="4" w:space="0" w:color="623412" w:themeColor="accent5"/>
        <w:insideH w:val="single" w:sz="4" w:space="0" w:color="FFFFFF" w:themeColor="background1"/>
        <w:insideV w:val="single" w:sz="4" w:space="0" w:color="FFFFFF" w:themeColor="background1"/>
      </w:tblBorders>
    </w:tblPr>
    <w:tcPr>
      <w:shd w:val="clear" w:color="auto" w:fill="F9E9DE" w:themeFill="accent5" w:themeFillTint="19"/>
    </w:tcPr>
    <w:tblStylePr w:type="firstRow">
      <w:rPr>
        <w:b/>
        <w:bCs/>
      </w:rPr>
      <w:tblPr/>
      <w:tcPr>
        <w:tcBorders>
          <w:top w:val="nil"/>
          <w:left w:val="nil"/>
          <w:bottom w:val="single" w:sz="24" w:space="0" w:color="9E65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1F0A" w:themeFill="accent5" w:themeFillShade="99"/>
      </w:tcPr>
    </w:tblStylePr>
    <w:tblStylePr w:type="firstCol">
      <w:rPr>
        <w:color w:val="FFFFFF" w:themeColor="background1"/>
      </w:rPr>
      <w:tblPr/>
      <w:tcPr>
        <w:tcBorders>
          <w:top w:val="nil"/>
          <w:left w:val="nil"/>
          <w:bottom w:val="nil"/>
          <w:right w:val="nil"/>
          <w:insideH w:val="single" w:sz="4" w:space="0" w:color="3A1F0A" w:themeColor="accent5" w:themeShade="99"/>
          <w:insideV w:val="nil"/>
        </w:tcBorders>
        <w:shd w:val="clear" w:color="auto" w:fill="3A1F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1F0A" w:themeFill="accent5" w:themeFillShade="99"/>
      </w:tcPr>
    </w:tblStylePr>
    <w:tblStylePr w:type="band1Vert">
      <w:tblPr/>
      <w:tcPr>
        <w:shd w:val="clear" w:color="auto" w:fill="E6A779" w:themeFill="accent5" w:themeFillTint="66"/>
      </w:tcPr>
    </w:tblStylePr>
    <w:tblStylePr w:type="band1Horz">
      <w:tblPr/>
      <w:tcPr>
        <w:shd w:val="clear" w:color="auto" w:fill="E09259"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623412" w:themeColor="accent5"/>
        <w:left w:val="single" w:sz="4" w:space="0" w:color="9E652E" w:themeColor="accent6"/>
        <w:bottom w:val="single" w:sz="4" w:space="0" w:color="9E652E" w:themeColor="accent6"/>
        <w:right w:val="single" w:sz="4" w:space="0" w:color="9E652E" w:themeColor="accent6"/>
        <w:insideH w:val="single" w:sz="4" w:space="0" w:color="FFFFFF" w:themeColor="background1"/>
        <w:insideV w:val="single" w:sz="4" w:space="0" w:color="FFFFFF" w:themeColor="background1"/>
      </w:tblBorders>
    </w:tblPr>
    <w:tcPr>
      <w:shd w:val="clear" w:color="auto" w:fill="F8EFE7" w:themeFill="accent6" w:themeFillTint="19"/>
    </w:tcPr>
    <w:tblStylePr w:type="firstRow">
      <w:rPr>
        <w:b/>
        <w:bCs/>
      </w:rPr>
      <w:tblPr/>
      <w:tcPr>
        <w:tcBorders>
          <w:top w:val="nil"/>
          <w:left w:val="nil"/>
          <w:bottom w:val="single" w:sz="24" w:space="0" w:color="6234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C1B" w:themeFill="accent6" w:themeFillShade="99"/>
      </w:tcPr>
    </w:tblStylePr>
    <w:tblStylePr w:type="firstCol">
      <w:rPr>
        <w:color w:val="FFFFFF" w:themeColor="background1"/>
      </w:rPr>
      <w:tblPr/>
      <w:tcPr>
        <w:tcBorders>
          <w:top w:val="nil"/>
          <w:left w:val="nil"/>
          <w:bottom w:val="nil"/>
          <w:right w:val="nil"/>
          <w:insideH w:val="single" w:sz="4" w:space="0" w:color="5E3C1B" w:themeColor="accent6" w:themeShade="99"/>
          <w:insideV w:val="nil"/>
        </w:tcBorders>
        <w:shd w:val="clear" w:color="auto" w:fill="5E3C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C1B" w:themeFill="accent6" w:themeFillShade="99"/>
      </w:tcPr>
    </w:tblStylePr>
    <w:tblStylePr w:type="band1Vert">
      <w:tblPr/>
      <w:tcPr>
        <w:shd w:val="clear" w:color="auto" w:fill="E3C19F" w:themeFill="accent6" w:themeFillTint="66"/>
      </w:tcPr>
    </w:tblStylePr>
    <w:tblStylePr w:type="band1Horz">
      <w:tblPr/>
      <w:tcPr>
        <w:shd w:val="clear" w:color="auto" w:fill="DCB188"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link w:val="Sis2Char"/>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outlineLvl w:val="0"/>
    </w:pPr>
    <w:rPr>
      <w:b/>
      <w:sz w:val="24"/>
    </w:rPr>
  </w:style>
  <w:style w:type="paragraph" w:customStyle="1" w:styleId="Abc">
    <w:name w:val="Abc"/>
    <w:basedOn w:val="Normaali"/>
    <w:uiPriority w:val="39"/>
    <w:rsid w:val="00EF2DC2"/>
    <w:pPr>
      <w:numPr>
        <w:numId w:val="14"/>
      </w:numPr>
      <w:spacing w:after="60"/>
    </w:pPr>
  </w:style>
  <w:style w:type="paragraph" w:customStyle="1" w:styleId="Abc1">
    <w:name w:val="Abc 1"/>
    <w:basedOn w:val="Normaali"/>
    <w:uiPriority w:val="39"/>
    <w:rsid w:val="00EF2DC2"/>
    <w:pPr>
      <w:numPr>
        <w:numId w:val="15"/>
      </w:numPr>
      <w:spacing w:after="60"/>
    </w:pPr>
  </w:style>
  <w:style w:type="paragraph" w:customStyle="1" w:styleId="Abc2">
    <w:name w:val="Abc 2"/>
    <w:basedOn w:val="Normaali"/>
    <w:uiPriority w:val="39"/>
    <w:rsid w:val="00EF2DC2"/>
    <w:pPr>
      <w:numPr>
        <w:numId w:val="16"/>
      </w:numPr>
      <w:spacing w:after="60"/>
    </w:pPr>
  </w:style>
  <w:style w:type="paragraph" w:customStyle="1" w:styleId="Numeroitu">
    <w:name w:val="Numeroitu"/>
    <w:basedOn w:val="Normaali"/>
    <w:uiPriority w:val="49"/>
    <w:rsid w:val="00EF2DC2"/>
    <w:pPr>
      <w:numPr>
        <w:numId w:val="17"/>
      </w:numPr>
      <w:spacing w:after="60"/>
    </w:pPr>
  </w:style>
  <w:style w:type="paragraph" w:customStyle="1" w:styleId="Numeroitu1">
    <w:name w:val="Numeroitu 1"/>
    <w:basedOn w:val="Normaali"/>
    <w:uiPriority w:val="49"/>
    <w:rsid w:val="00EF2DC2"/>
    <w:pPr>
      <w:numPr>
        <w:numId w:val="18"/>
      </w:numPr>
      <w:spacing w:after="60"/>
    </w:pPr>
  </w:style>
  <w:style w:type="paragraph" w:customStyle="1" w:styleId="Numeroitu2">
    <w:name w:val="Numeroitu 2"/>
    <w:basedOn w:val="Normaali"/>
    <w:uiPriority w:val="49"/>
    <w:rsid w:val="00EF2DC2"/>
    <w:pPr>
      <w:numPr>
        <w:numId w:val="19"/>
      </w:numPr>
      <w:spacing w:after="60"/>
    </w:pPr>
  </w:style>
  <w:style w:type="paragraph" w:customStyle="1" w:styleId="Viiva">
    <w:name w:val="Viiva"/>
    <w:basedOn w:val="Normaali"/>
    <w:uiPriority w:val="59"/>
    <w:rsid w:val="00EF2DC2"/>
    <w:pPr>
      <w:numPr>
        <w:numId w:val="20"/>
      </w:numPr>
      <w:spacing w:after="60"/>
    </w:pPr>
  </w:style>
  <w:style w:type="paragraph" w:customStyle="1" w:styleId="Viiva1">
    <w:name w:val="Viiva 1"/>
    <w:basedOn w:val="Normaali"/>
    <w:uiPriority w:val="59"/>
    <w:rsid w:val="00EF2DC2"/>
    <w:pPr>
      <w:numPr>
        <w:numId w:val="21"/>
      </w:numPr>
      <w:spacing w:after="60"/>
    </w:pPr>
  </w:style>
  <w:style w:type="paragraph" w:customStyle="1" w:styleId="Viiva2">
    <w:name w:val="Viiva 2"/>
    <w:basedOn w:val="Normaali"/>
    <w:uiPriority w:val="59"/>
    <w:rsid w:val="00EF2DC2"/>
    <w:pPr>
      <w:numPr>
        <w:numId w:val="22"/>
      </w:numPr>
      <w:spacing w:after="60"/>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F2DC2"/>
    <w:pPr>
      <w:numPr>
        <w:numId w:val="23"/>
      </w:numPr>
      <w:spacing w:after="60"/>
    </w:pPr>
  </w:style>
  <w:style w:type="paragraph" w:customStyle="1" w:styleId="Numeroitu3">
    <w:name w:val="Numeroitu 3"/>
    <w:basedOn w:val="Normaali"/>
    <w:uiPriority w:val="49"/>
    <w:qFormat/>
    <w:rsid w:val="00EF2DC2"/>
    <w:pPr>
      <w:numPr>
        <w:numId w:val="24"/>
      </w:numPr>
      <w:spacing w:after="60"/>
    </w:pPr>
  </w:style>
  <w:style w:type="paragraph" w:customStyle="1" w:styleId="Viiva3">
    <w:name w:val="Viiva 3"/>
    <w:basedOn w:val="Normaali"/>
    <w:uiPriority w:val="59"/>
    <w:qFormat/>
    <w:rsid w:val="00EF2DC2"/>
    <w:pPr>
      <w:numPr>
        <w:numId w:val="25"/>
      </w:numPr>
      <w:spacing w:after="60"/>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916B2"/>
    <w:pPr>
      <w:keepNext/>
      <w:tabs>
        <w:tab w:val="left" w:pos="567"/>
      </w:tabs>
      <w:spacing w:before="200" w:after="120"/>
    </w:pPr>
    <w:rPr>
      <w:rFonts w:eastAsia="Times New Roman" w:cs="Times New Roman"/>
      <w:szCs w:val="20"/>
    </w:rPr>
  </w:style>
  <w:style w:type="paragraph" w:customStyle="1" w:styleId="Otsikko20">
    <w:name w:val="Otsikko_2"/>
    <w:basedOn w:val="Normaali"/>
    <w:uiPriority w:val="94"/>
    <w:rsid w:val="00C916B2"/>
    <w:pPr>
      <w:keepNext/>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26"/>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26"/>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table" w:customStyle="1" w:styleId="zSignatureTable">
    <w:name w:val="zSignatureTable"/>
    <w:basedOn w:val="Normaalitaulukko"/>
    <w:uiPriority w:val="99"/>
    <w:rsid w:val="00274F9D"/>
    <w:pPr>
      <w:spacing w:after="0" w:line="240" w:lineRule="auto"/>
    </w:pPr>
    <w:tblPr/>
    <w:trPr>
      <w:cantSplit/>
    </w:trPr>
    <w:tcPr>
      <w:vAlign w:val="bottom"/>
    </w:tcPr>
  </w:style>
  <w:style w:type="table" w:customStyle="1" w:styleId="zHeaderTable">
    <w:name w:val="zHeaderTable"/>
    <w:basedOn w:val="Normaalitaulukko"/>
    <w:uiPriority w:val="99"/>
    <w:rsid w:val="00FB1C9D"/>
    <w:pPr>
      <w:spacing w:after="0" w:line="240" w:lineRule="auto"/>
    </w:pPr>
    <w:tblPr/>
  </w:style>
  <w:style w:type="character" w:customStyle="1" w:styleId="Sis2Char">
    <w:name w:val="Sis 2 Char"/>
    <w:basedOn w:val="Kappaleenoletusfontti"/>
    <w:link w:val="Sis2"/>
    <w:locked/>
    <w:rsid w:val="003C1DDF"/>
    <w:rPr>
      <w:rFonts w:ascii="Arial" w:hAnsi="Arial"/>
    </w:rPr>
  </w:style>
  <w:style w:type="character" w:customStyle="1" w:styleId="Ratkaisematonmaininta1">
    <w:name w:val="Ratkaisematon maininta1"/>
    <w:basedOn w:val="Kappaleenoletusfontti"/>
    <w:uiPriority w:val="99"/>
    <w:semiHidden/>
    <w:unhideWhenUsed/>
    <w:rsid w:val="003C1DDF"/>
    <w:rPr>
      <w:color w:val="605E5C"/>
      <w:shd w:val="clear" w:color="auto" w:fill="E1DFDD"/>
    </w:rPr>
  </w:style>
  <w:style w:type="paragraph" w:customStyle="1" w:styleId="Ohjeenteksti">
    <w:name w:val="Ohjeen teksti"/>
    <w:rsid w:val="000365ED"/>
    <w:pPr>
      <w:spacing w:before="120" w:after="120" w:line="240" w:lineRule="auto"/>
      <w:ind w:left="1304"/>
    </w:pPr>
    <w:rPr>
      <w:rFonts w:ascii="Arial" w:eastAsia="Times New Roman" w:hAnsi="Arial" w:cs="Times New Roman"/>
      <w:sz w:val="20"/>
      <w:szCs w:val="20"/>
      <w:lang w:eastAsia="fi-FI"/>
    </w:rPr>
  </w:style>
  <w:style w:type="paragraph" w:customStyle="1" w:styleId="Ohjeenotsikko1">
    <w:name w:val="Ohjeen otsikko 1"/>
    <w:basedOn w:val="Ohjeenteksti"/>
    <w:next w:val="Ohjeenteksti"/>
    <w:autoRedefine/>
    <w:rsid w:val="000365ED"/>
    <w:pPr>
      <w:keepNext/>
      <w:tabs>
        <w:tab w:val="right" w:pos="9072"/>
      </w:tabs>
      <w:ind w:left="0"/>
    </w:pPr>
    <w:rPr>
      <w:b/>
      <w:caps/>
      <w:sz w:val="24"/>
      <w:szCs w:val="24"/>
    </w:rPr>
  </w:style>
  <w:style w:type="paragraph" w:customStyle="1" w:styleId="Ohjeenotsikko2">
    <w:name w:val="Ohjeen otsikko 2"/>
    <w:basedOn w:val="Ohjeenteksti"/>
    <w:next w:val="Ohjeenteksti"/>
    <w:autoRedefine/>
    <w:rsid w:val="000365ED"/>
    <w:pPr>
      <w:keepNext/>
      <w:ind w:left="0"/>
    </w:pPr>
    <w:rPr>
      <w:b/>
      <w:caps/>
    </w:rPr>
  </w:style>
  <w:style w:type="paragraph" w:customStyle="1" w:styleId="Ohjeenotsikko3">
    <w:name w:val="Ohjeen otsikko 3"/>
    <w:basedOn w:val="Ohjeenteksti"/>
    <w:next w:val="Ohjeenteksti"/>
    <w:autoRedefine/>
    <w:rsid w:val="000365ED"/>
    <w:pPr>
      <w:keepNext/>
      <w:ind w:left="0"/>
    </w:pPr>
    <w:rPr>
      <w:b/>
    </w:rPr>
  </w:style>
  <w:style w:type="character" w:styleId="Ratkaisematonmaininta">
    <w:name w:val="Unresolved Mention"/>
    <w:basedOn w:val="Kappaleenoletusfontti"/>
    <w:uiPriority w:val="99"/>
    <w:semiHidden/>
    <w:unhideWhenUsed/>
    <w:rsid w:val="006C0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733">
      <w:bodyDiv w:val="1"/>
      <w:marLeft w:val="0"/>
      <w:marRight w:val="0"/>
      <w:marTop w:val="0"/>
      <w:marBottom w:val="0"/>
      <w:divBdr>
        <w:top w:val="none" w:sz="0" w:space="0" w:color="auto"/>
        <w:left w:val="none" w:sz="0" w:space="0" w:color="auto"/>
        <w:bottom w:val="none" w:sz="0" w:space="0" w:color="auto"/>
        <w:right w:val="none" w:sz="0" w:space="0" w:color="auto"/>
      </w:divBdr>
      <w:divsChild>
        <w:div w:id="58441309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12686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helda.helsinki.fi/handle/10138/339406"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nitta.sihvonen@ely-keskus.fi"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c.europa.eu/info/sites/default/files/c_2021_1054_fi.pdf" TargetMode="External"/><Relationship Id="rId25" Type="http://schemas.openxmlformats.org/officeDocument/2006/relationships/hyperlink" Target="https://julkaisut.valtioneuvosto.fi/handle/10024/163176" TargetMode="External"/><Relationship Id="rId2" Type="http://schemas.openxmlformats.org/officeDocument/2006/relationships/customXml" Target="../customXml/item2.xml"/><Relationship Id="rId16" Type="http://schemas.openxmlformats.org/officeDocument/2006/relationships/hyperlink" Target="https://mmm.fi/sv/-/ny-finansiering-for-okad-vattenkompetens-och-internationalisering-sammanlagt-3-3-miljoner-euro-har-delats-ut-fran-programmet-for-hallbar-tillvaxt-till-21-projekt-for-vattenkompetens" TargetMode="External"/><Relationship Id="rId20" Type="http://schemas.openxmlformats.org/officeDocument/2006/relationships/hyperlink" Target="https://yhteydenotto.team.finland.f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helda.helsinki.fi/handle/10138/339406?locale-attribute=s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mm.fi/-/vesiosaamisen-kasvuun-ja-kansainvalistymiseen-rahoitusta-kestavan-kasvun-ohjelmasta-yhteensa-1-76-milj.-euroa-kymmenelle-vesiosaamisen-hankkeelle?languageId=fi_FI" TargetMode="External"/><Relationship Id="rId23" Type="http://schemas.openxmlformats.org/officeDocument/2006/relationships/hyperlink" Target="https://commission.europa.eu/document/download/98e1c77a-64ff-40a3-b827-f21df79544c0_sv" TargetMode="External"/><Relationship Id="rId28" Type="http://schemas.openxmlformats.org/officeDocument/2006/relationships/header" Target="header2.xml"/><Relationship Id="rId10" Type="http://schemas.openxmlformats.org/officeDocument/2006/relationships/styles" Target="styles.xml"/><Relationship Id="rId19" Type="http://schemas.openxmlformats.org/officeDocument/2006/relationships/hyperlink" Target="https://eur-lex.europa.eu/legal-content/SV/TXT/HTML/?uri=CELEX:52021PC0624"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jertta.demazieres@gov.fi"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A78F9CEA1463598E2AA1D2F252C47"/>
        <w:category>
          <w:name w:val="Yleiset"/>
          <w:gallery w:val="placeholder"/>
        </w:category>
        <w:types>
          <w:type w:val="bbPlcHdr"/>
        </w:types>
        <w:behaviors>
          <w:behavior w:val="content"/>
        </w:behaviors>
        <w:guid w:val="{6EE0527E-53F6-4C30-B1FB-552BCAC3868A}"/>
      </w:docPartPr>
      <w:docPartBody>
        <w:p w:rsidR="004D50E4" w:rsidRDefault="00A7437A">
          <w:r w:rsidRPr="00E147FF">
            <w:rPr>
              <w:rStyle w:val="Paikkamerkkiteksti"/>
            </w:rPr>
            <w:t xml:space="preserve"> </w:t>
          </w:r>
        </w:p>
      </w:docPartBody>
    </w:docPart>
    <w:docPart>
      <w:docPartPr>
        <w:name w:val="EE69153F54FB4715913E6E5B7865DB74"/>
        <w:category>
          <w:name w:val="Yleiset"/>
          <w:gallery w:val="placeholder"/>
        </w:category>
        <w:types>
          <w:type w:val="bbPlcHdr"/>
        </w:types>
        <w:behaviors>
          <w:behavior w:val="content"/>
        </w:behaviors>
        <w:guid w:val="{BF2D837B-C9EB-407F-B40F-675293B13A68}"/>
      </w:docPartPr>
      <w:docPartBody>
        <w:p w:rsidR="004D50E4" w:rsidRDefault="00A7437A">
          <w:r w:rsidRPr="00E147FF">
            <w:rPr>
              <w:rStyle w:val="Paikkamerkkiteksti"/>
            </w:rPr>
            <w:t xml:space="preserve"> </w:t>
          </w:r>
        </w:p>
      </w:docPartBody>
    </w:docPart>
    <w:docPart>
      <w:docPartPr>
        <w:name w:val="8859DDF34DE342618CF38AFF5FF1A204"/>
        <w:category>
          <w:name w:val="Yleiset"/>
          <w:gallery w:val="placeholder"/>
        </w:category>
        <w:types>
          <w:type w:val="bbPlcHdr"/>
        </w:types>
        <w:behaviors>
          <w:behavior w:val="content"/>
        </w:behaviors>
        <w:guid w:val="{2105E767-8DA5-4B1F-94C9-A11D02070404}"/>
      </w:docPartPr>
      <w:docPartBody>
        <w:p w:rsidR="004D50E4" w:rsidRDefault="00A7437A">
          <w:r w:rsidRPr="00E147FF">
            <w:rPr>
              <w:rStyle w:val="Paikkamerkkiteksti"/>
            </w:rPr>
            <w:t xml:space="preserve"> </w:t>
          </w:r>
        </w:p>
      </w:docPartBody>
    </w:docPart>
    <w:docPart>
      <w:docPartPr>
        <w:name w:val="4500D7A255FA4E65A970417B91081EDB"/>
        <w:category>
          <w:name w:val="Yleiset"/>
          <w:gallery w:val="placeholder"/>
        </w:category>
        <w:types>
          <w:type w:val="bbPlcHdr"/>
        </w:types>
        <w:behaviors>
          <w:behavior w:val="content"/>
        </w:behaviors>
        <w:guid w:val="{C24B9DC1-53FC-410E-839B-BDFE199BE657}"/>
      </w:docPartPr>
      <w:docPartBody>
        <w:p w:rsidR="004D50E4" w:rsidRDefault="004D50E4"/>
      </w:docPartBody>
    </w:docPart>
    <w:docPart>
      <w:docPartPr>
        <w:name w:val="FF18B376FE6A4E63BEC641325FA601AC"/>
        <w:category>
          <w:name w:val="Yleiset"/>
          <w:gallery w:val="placeholder"/>
        </w:category>
        <w:types>
          <w:type w:val="bbPlcHdr"/>
        </w:types>
        <w:behaviors>
          <w:behavior w:val="content"/>
        </w:behaviors>
        <w:guid w:val="{C9500386-300D-4BF3-8835-E673C3FC4FC5}"/>
      </w:docPartPr>
      <w:docPartBody>
        <w:p w:rsidR="004D50E4" w:rsidRDefault="00A7437A">
          <w:r>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7A"/>
    <w:rsid w:val="00432BA7"/>
    <w:rsid w:val="004D50E4"/>
    <w:rsid w:val="00663FDF"/>
    <w:rsid w:val="00A7437A"/>
  </w:rsids>
  <m:mathPr>
    <m:mathFont m:val="Cambria Math"/>
    <m:brkBin m:val="before"/>
    <m:brkBinSub m:val="--"/>
    <m:smallFrac m:val="0"/>
    <m:dispDef/>
    <m:lMargin m:val="0"/>
    <m:rMargin m:val="0"/>
    <m:defJc m:val="centerGroup"/>
    <m:wrapIndent m:val="1440"/>
    <m:intLim m:val="subSup"/>
    <m:naryLim m:val="undOvr"/>
  </m:mathPr>
  <w:themeFontLang w:val="fi-FI"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7437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A743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_2021">
      <a:dk1>
        <a:sysClr val="windowText" lastClr="000000"/>
      </a:dk1>
      <a:lt1>
        <a:sysClr val="window" lastClr="FFFFFF"/>
      </a:lt1>
      <a:dk2>
        <a:srgbClr val="003883"/>
      </a:dk2>
      <a:lt2>
        <a:srgbClr val="D8D8D8"/>
      </a:lt2>
      <a:accent1>
        <a:srgbClr val="003883"/>
      </a:accent1>
      <a:accent2>
        <a:srgbClr val="D9640C"/>
      </a:accent2>
      <a:accent3>
        <a:srgbClr val="5A8117"/>
      </a:accent3>
      <a:accent4>
        <a:srgbClr val="4460A5"/>
      </a:accent4>
      <a:accent5>
        <a:srgbClr val="623412"/>
      </a:accent5>
      <a:accent6>
        <a:srgbClr val="9E652E"/>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ly_kameleon>
  <dref>Hakuohje</dref>
  <zanimike>Nimike</zanimike>
  <zanimi>Ratkaisijan nimi</zanimi>
  <zaenimike>Nimike</zaenimike>
  <zaenimi>Esittelijän nimi</zaenimi>
  <dnumber> </dnumber>
  <dencl> </dencl>
  <dconfidentiality> </dconfidentiality>
  <dlevelofprotection> </dlevelofprotection>
  <ddecree> </ddecree>
  <dsecrecy> </dsecrecy>
</ely_kameleon>
</file>

<file path=customXml/item4.xml><?xml version="1.0" encoding="utf-8"?>
<ely_kameleon_signature>
  <zanimike>Nimike</zanimike>
  <zanimi>Ratkaisijan nimi</zanimi>
</ely_kameleon_signature>
</file>

<file path=customXml/item5.xml><?xml version="1.0" encoding="utf-8"?>
<xml_kameleon>
  <Dokumentin_x0020_tila/>
  <Kieli>Suomi</Kieli>
  <Päiväys/>
  <Dokumenttityyppi>Ohje</Dokumenttityyppi>
  <Diaarinumero/>
  <KEHALaatija/>
  <Laatijaorganisaatio>ELY ESA|3e86f1f2-b12e-4940-b06d-92799703bbe0</Laatijaorganisaatio>
</xml_kamele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KameleonReceivers_Email>
  <reveivers_email/>
</KameleonReceivers_Email>
</file>

<file path=customXml/item8.xml><?xml version="1.0" encoding="utf-8"?>
<ct:contentTypeSchema xmlns:ct="http://schemas.microsoft.com/office/2006/metadata/contentType" xmlns:ma="http://schemas.microsoft.com/office/2006/metadata/properties/metaAttributes" ct:_="" ma:_="" ma:contentTypeName="Document" ma:contentTypeID="0x0101000BDE172FDC4B4F4498D1355729EB2BCF" ma:contentTypeVersion="0" ma:contentTypeDescription="Create a new document." ma:contentTypeScope="" ma:versionID="97a5e2381842dfdc65c607e4f75718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E5713A-C789-4BC4-BBEF-7FB89CEB755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1E4DA66-0D97-4B26-AF50-524ECE87D975}">
  <ds:schemaRefs>
    <ds:schemaRef ds:uri="http://schemas.openxmlformats.org/officeDocument/2006/bibliography"/>
  </ds:schemaRefs>
</ds:datastoreItem>
</file>

<file path=customXml/itemProps3.xml><?xml version="1.0" encoding="utf-8"?>
<ds:datastoreItem xmlns:ds="http://schemas.openxmlformats.org/officeDocument/2006/customXml" ds:itemID="{C93CE740-65EE-47CA-9809-CA6CF4722AF7}">
  <ds:schemaRefs/>
</ds:datastoreItem>
</file>

<file path=customXml/itemProps4.xml><?xml version="1.0" encoding="utf-8"?>
<ds:datastoreItem xmlns:ds="http://schemas.openxmlformats.org/officeDocument/2006/customXml" ds:itemID="{7D1871CE-5F5C-4AAA-9DC3-6169CAE0C374}">
  <ds:schemaRefs/>
</ds:datastoreItem>
</file>

<file path=customXml/itemProps5.xml><?xml version="1.0" encoding="utf-8"?>
<ds:datastoreItem xmlns:ds="http://schemas.openxmlformats.org/officeDocument/2006/customXml" ds:itemID="{4213A872-0343-4268-9097-172CCEE11A8F}">
  <ds:schemaRefs/>
</ds:datastoreItem>
</file>

<file path=customXml/itemProps6.xml><?xml version="1.0" encoding="utf-8"?>
<ds:datastoreItem xmlns:ds="http://schemas.openxmlformats.org/officeDocument/2006/customXml" ds:itemID="{F6DD13BF-ABF3-4A52-A297-C5B42BD4E7EA}">
  <ds:schemaRefs>
    <ds:schemaRef ds:uri="http://schemas.microsoft.com/sharepoint/v3/contenttype/forms"/>
  </ds:schemaRefs>
</ds:datastoreItem>
</file>

<file path=customXml/itemProps7.xml><?xml version="1.0" encoding="utf-8"?>
<ds:datastoreItem xmlns:ds="http://schemas.openxmlformats.org/officeDocument/2006/customXml" ds:itemID="{E352457F-EAF5-4AC9-BB74-16B005667BCF}">
  <ds:schemaRefs/>
</ds:datastoreItem>
</file>

<file path=customXml/itemProps8.xml><?xml version="1.0" encoding="utf-8"?>
<ds:datastoreItem xmlns:ds="http://schemas.openxmlformats.org/officeDocument/2006/customXml" ds:itemID="{CD2F195D-DE81-49B1-A5BB-DC148A94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16</Pages>
  <Words>4680</Words>
  <Characters>37913</Characters>
  <Application>Microsoft Office Word</Application>
  <DocSecurity>0</DocSecurity>
  <Lines>315</Lines>
  <Paragraphs>85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Ökad vattenkompetens och internationalisering – ansökningsanvisningar</vt:lpstr>
      <vt:lpstr/>
    </vt:vector>
  </TitlesOfParts>
  <Company>Etelä-Savon ELY</Company>
  <LinksUpToDate>false</LinksUpToDate>
  <CharactersWithSpaces>42508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Ökad vattenkompetens och internationalisering – ansökningsanvisningar</dc:title>
  <dc:subject/>
  <dc:creator/>
  <cp:keywords>ely12f2i_sv</cp:keywords>
  <dc:description/>
  <cp:lastModifiedBy>Himanen Marko (ELY)</cp:lastModifiedBy>
  <cp:revision>6</cp:revision>
  <dcterms:created xsi:type="dcterms:W3CDTF">2023-08-24T09:01:00Z</dcterms:created>
  <dcterms:modified xsi:type="dcterms:W3CDTF">2023-08-25T11:33:00Z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n_x0020_tila">
    <vt:lpwstr/>
  </property>
  <property fmtid="{D5CDD505-2E9C-101B-9397-08002B2CF9AE}" pid="3" name="Kieli">
    <vt:lpwstr>Suomi</vt:lpwstr>
  </property>
  <property fmtid="{D5CDD505-2E9C-101B-9397-08002B2CF9AE}" pid="4" name="julkisuus">
    <vt:lpwstr/>
  </property>
  <property fmtid="{D5CDD505-2E9C-101B-9397-08002B2CF9AE}" pid="5" name="Päiväys">
    <vt:filetime>2022-01-13T22:00:00Z</vt:filetime>
  </property>
  <property fmtid="{D5CDD505-2E9C-101B-9397-08002B2CF9AE}" pid="6" name="Asiakirjan tyyppi">
    <vt:lpwstr>Ohje</vt:lpwstr>
  </property>
  <property fmtid="{D5CDD505-2E9C-101B-9397-08002B2CF9AE}" pid="7" name="Dokumenttityyppi">
    <vt:lpwstr>Ohje</vt:lpwstr>
  </property>
  <property fmtid="{D5CDD505-2E9C-101B-9397-08002B2CF9AE}" pid="8" name="Asian tunnus">
    <vt:lpwstr/>
  </property>
  <property fmtid="{D5CDD505-2E9C-101B-9397-08002B2CF9AE}" pid="9" name="Diaarinumero">
    <vt:lpwstr/>
  </property>
  <property fmtid="{D5CDD505-2E9C-101B-9397-08002B2CF9AE}" pid="10" name="VOsoite">
    <vt:lpwstr/>
  </property>
  <property fmtid="{D5CDD505-2E9C-101B-9397-08002B2CF9AE}" pid="11" name="VTitteli">
    <vt:lpwstr/>
  </property>
  <property fmtid="{D5CDD505-2E9C-101B-9397-08002B2CF9AE}" pid="12" name="KEHALaatija">
    <vt:lpwstr/>
  </property>
  <property fmtid="{D5CDD505-2E9C-101B-9397-08002B2CF9AE}" pid="13" name="Laatijaorganisaatio">
    <vt:lpwstr>Etelä-Savon ELY</vt:lpwstr>
  </property>
  <property fmtid="{D5CDD505-2E9C-101B-9397-08002B2CF9AE}" pid="14" name="VOsasto">
    <vt:lpwstr/>
  </property>
  <property fmtid="{D5CDD505-2E9C-101B-9397-08002B2CF9AE}" pid="15" name="Yritys">
    <vt:lpwstr/>
  </property>
  <property fmtid="{D5CDD505-2E9C-101B-9397-08002B2CF9AE}" pid="16" name="Vastaanottaja">
    <vt:lpwstr/>
  </property>
  <property fmtid="{D5CDD505-2E9C-101B-9397-08002B2CF9AE}" pid="17" name="Hyväksyjä">
    <vt:lpwstr>Ratkaisijan nimi</vt:lpwstr>
  </property>
  <property fmtid="{D5CDD505-2E9C-101B-9397-08002B2CF9AE}" pid="18" name="Esittelijä">
    <vt:lpwstr>Esittelijän nimi</vt:lpwstr>
  </property>
  <property fmtid="{D5CDD505-2E9C-101B-9397-08002B2CF9AE}" pid="19" name="ContentTypeId">
    <vt:lpwstr>0x0101000BDE172FDC4B4F4498D1355729EB2BCF</vt:lpwstr>
  </property>
  <property fmtid="{D5CDD505-2E9C-101B-9397-08002B2CF9AE}" pid="20" name="Dokumentin tila">
    <vt:lpwstr/>
  </property>
</Properties>
</file>