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D899" w14:textId="38F16A4D" w:rsidR="00B303A8" w:rsidRDefault="00B303A8" w:rsidP="00B303A8">
      <w:pPr>
        <w:pStyle w:val="Ohjeenotsikko1"/>
      </w:pPr>
      <w:r w:rsidRPr="004C0280">
        <w:t>Avustushakemuksen täyttöohje vesihuollon toimintavarmuuden ja kyberturvallisuuden para</w:t>
      </w:r>
      <w:r>
        <w:t>n</w:t>
      </w:r>
      <w:r w:rsidRPr="004C0280">
        <w:t>tamisen hankkeille</w:t>
      </w:r>
    </w:p>
    <w:p w14:paraId="497211DD" w14:textId="77777777" w:rsidR="00B303A8" w:rsidRDefault="00B303A8" w:rsidP="00B303A8">
      <w:pPr>
        <w:pStyle w:val="Ohjeenteksti"/>
      </w:pPr>
      <w:r>
        <w:t>Hakemus tulee toimittaa ennen hankkeen tai toimenpiteen aloittamista Etelä-Savon ELY-keskukseen. Hakemuksen vireille tulosta lähtien syntyneet kulut voidaan hyväksyä, mi-käli hankkeelle annetaan myönteinen avustuspäätös.</w:t>
      </w:r>
    </w:p>
    <w:p w14:paraId="3824328A" w14:textId="77777777" w:rsidR="00B303A8" w:rsidRDefault="00B303A8" w:rsidP="00B303A8">
      <w:pPr>
        <w:pStyle w:val="Ohjeenotsikko2"/>
      </w:pPr>
      <w:r>
        <w:t>1. Hankkeen nimi</w:t>
      </w:r>
      <w:r>
        <w:tab/>
      </w:r>
    </w:p>
    <w:p w14:paraId="5FB39725" w14:textId="77777777" w:rsidR="00B303A8" w:rsidRDefault="00B303A8" w:rsidP="00B303A8">
      <w:pPr>
        <w:pStyle w:val="Ohjeenteksti"/>
      </w:pPr>
      <w:r>
        <w:t xml:space="preserve">Hankkeella on oltava nimi, josta ilmenee selvästi hankkeen sisältö. Nimen tulisi olla lyhyt ja ytimekäs. </w:t>
      </w:r>
    </w:p>
    <w:p w14:paraId="07BA5D6E" w14:textId="77777777" w:rsidR="00B303A8" w:rsidRDefault="00B303A8" w:rsidP="00B303A8">
      <w:pPr>
        <w:pStyle w:val="Ohjeenotsikko2"/>
      </w:pPr>
      <w:r>
        <w:t>2. Hakija</w:t>
      </w:r>
    </w:p>
    <w:p w14:paraId="139F0986" w14:textId="77777777" w:rsidR="00B303A8" w:rsidRDefault="00B303A8" w:rsidP="00B303A8">
      <w:pPr>
        <w:pStyle w:val="Ohjeenotsikko3"/>
      </w:pPr>
      <w:r>
        <w:t>Avustuksen hakija</w:t>
      </w:r>
    </w:p>
    <w:p w14:paraId="573D14DF" w14:textId="77777777" w:rsidR="00B303A8" w:rsidRDefault="00B303A8" w:rsidP="00B303A8">
      <w:pPr>
        <w:pStyle w:val="Ohjeenteksti"/>
      </w:pPr>
      <w:r>
        <w:t>Avustusta voi hakea oikeushenkilö. Avustusta voivat hakea kunnat, kuntayhtymät ja näiden omistamat yhtiöt ja muut kuntaomisteiset toimijat, yhdistykset, yritykset sekä muut yhteisöt lukuun ottamatta valtion virastoja ja laitoksia. Avustusta ei voida myöntää yksityishenkilölle.</w:t>
      </w:r>
    </w:p>
    <w:p w14:paraId="5D569BE2" w14:textId="77777777" w:rsidR="00B303A8" w:rsidRDefault="00B303A8" w:rsidP="00B303A8">
      <w:pPr>
        <w:pStyle w:val="Ohjeenotsikko3"/>
      </w:pPr>
      <w:r>
        <w:t>Yhteyshenkilö</w:t>
      </w:r>
    </w:p>
    <w:p w14:paraId="5EA70404" w14:textId="77777777" w:rsidR="00B303A8" w:rsidRDefault="00B303A8" w:rsidP="00B303A8">
      <w:pPr>
        <w:pStyle w:val="Ohjeenteksti"/>
      </w:pPr>
      <w:r>
        <w:t>Hankkeelle tulee nimetä yhteyshenkilö</w:t>
      </w:r>
    </w:p>
    <w:p w14:paraId="48520244" w14:textId="77777777" w:rsidR="00B303A8" w:rsidRDefault="00B303A8" w:rsidP="00B303A8">
      <w:pPr>
        <w:pStyle w:val="Ohjeenotsikko3"/>
      </w:pPr>
      <w:r>
        <w:t>Hakijoiden lukumäärä</w:t>
      </w:r>
    </w:p>
    <w:p w14:paraId="0D2DCB5D" w14:textId="77777777" w:rsidR="00B303A8" w:rsidRDefault="00B303A8" w:rsidP="00B303A8">
      <w:pPr>
        <w:pStyle w:val="Ohjeenteksti"/>
      </w:pPr>
      <w:r>
        <w:t>Ohje yhteishankkeiden toteuttajille löytyy hakumenettelyohjeen liitteenä</w:t>
      </w:r>
    </w:p>
    <w:p w14:paraId="30DF6E67" w14:textId="77777777" w:rsidR="00B303A8" w:rsidRDefault="00B303A8" w:rsidP="00B303A8">
      <w:pPr>
        <w:pStyle w:val="Ohjeenotsikko3"/>
      </w:pPr>
      <w:r>
        <w:t>Vesihuoltolaitosten tiedot</w:t>
      </w:r>
    </w:p>
    <w:p w14:paraId="069B2111" w14:textId="77777777" w:rsidR="00B303A8" w:rsidRDefault="00B303A8" w:rsidP="00B303A8">
      <w:pPr>
        <w:pStyle w:val="Ohjeenteksti"/>
      </w:pPr>
      <w:r>
        <w:t>Hankkeessa mukana olevien vesihuoltolaitosten lukumäärät, nimet, liittyjämäärät (asukkaat) ja sijaintikunnat tulee ilmoittaa.</w:t>
      </w:r>
    </w:p>
    <w:p w14:paraId="08502CC5" w14:textId="77777777" w:rsidR="00B303A8" w:rsidRDefault="00B303A8" w:rsidP="00B303A8">
      <w:pPr>
        <w:pStyle w:val="Ohjeenotsikko2"/>
      </w:pPr>
      <w:r>
        <w:t>3. Hanke</w:t>
      </w:r>
    </w:p>
    <w:p w14:paraId="06D23FC3" w14:textId="77777777" w:rsidR="00B303A8" w:rsidRDefault="00B303A8" w:rsidP="00B303A8">
      <w:pPr>
        <w:pStyle w:val="Ohjeenotsikko3"/>
      </w:pPr>
      <w:r>
        <w:t>Hankkeen arvioitu toteuttamisaika</w:t>
      </w:r>
    </w:p>
    <w:p w14:paraId="4AE4C62D" w14:textId="77777777" w:rsidR="00B303A8" w:rsidRDefault="00B303A8" w:rsidP="00B303A8">
      <w:pPr>
        <w:pStyle w:val="Ohjeenteksti"/>
      </w:pPr>
      <w:r>
        <w:t>Hankkeen kustannukset ovat hyväksyttäviä vain rahoituspäätöksessä ilmoitettuna toteutusaikana. Hyväksyttävien toimien ja niihin liittyvien kustannusten syntymisen varhaisin alkamisajankohta on se päivämäärä, jona hakemus on tullut vireille ELY-keskuksessa. Hankkeen toteuttamisaika on määriteltävä riittävän pitkäksi siten, että kaikki kustannukset syntyvät ja tuensaaja on ne tosiasiallisesti maksanut toteuttamisaikana. Perustellusta syystä tuen saaja voi hakea tuen myöntäneeltä viranomaiselta jatkoaikaa hankkeen toteuttamiselle ennen tukikelpoisuusajan päättymistä. Hankkeiden viimeinen toteutusajan päättymispäivämäärä tulee olla viimeistään 31.8.2025.</w:t>
      </w:r>
    </w:p>
    <w:p w14:paraId="459377E0" w14:textId="77777777" w:rsidR="00B303A8" w:rsidRDefault="00B303A8" w:rsidP="00B303A8">
      <w:pPr>
        <w:pStyle w:val="Ohjeenotsikko3"/>
      </w:pPr>
      <w:r>
        <w:t>Tiivistelmä hankkeen sisällöstä</w:t>
      </w:r>
    </w:p>
    <w:p w14:paraId="456AA9D0" w14:textId="77777777" w:rsidR="00B303A8" w:rsidRDefault="00B303A8" w:rsidP="00B303A8">
      <w:pPr>
        <w:pStyle w:val="Ohjeenteksti"/>
      </w:pPr>
      <w:r>
        <w:t>Kohtaan kuvataan lyhyesti hankkeen sisältö, keskeiset toimenpiteet, tavoitteet ja tarpeellisuus. Hakemukseen on liitettävä erillinen yksityiskohtainen hankesuunnitelma, jonka pituus voi olla enintään 10 sivua.</w:t>
      </w:r>
    </w:p>
    <w:p w14:paraId="28015772" w14:textId="77777777" w:rsidR="00B303A8" w:rsidRDefault="00B303A8" w:rsidP="00B303A8">
      <w:pPr>
        <w:pStyle w:val="Ohjeenotsikko3"/>
      </w:pPr>
      <w:r>
        <w:t>Hankkeen odotettu vaikuttavuus</w:t>
      </w:r>
    </w:p>
    <w:p w14:paraId="568483CF" w14:textId="77777777" w:rsidR="00B303A8" w:rsidRDefault="00B303A8" w:rsidP="00B303A8">
      <w:pPr>
        <w:pStyle w:val="Ohjeenteksti"/>
      </w:pPr>
      <w:r>
        <w:t>Hakija kiteyttää tiivistetysti vaikuttavuuden erityisesti seuraavien kriteerien mukaisesti:</w:t>
      </w:r>
    </w:p>
    <w:p w14:paraId="34C17C68" w14:textId="77777777" w:rsidR="00B303A8" w:rsidRDefault="00B303A8" w:rsidP="00B303A8">
      <w:pPr>
        <w:pStyle w:val="Ohjeenteksti"/>
      </w:pPr>
    </w:p>
    <w:p w14:paraId="7DCE844F" w14:textId="77777777" w:rsidR="00B303A8" w:rsidRDefault="00B303A8" w:rsidP="00B303A8">
      <w:pPr>
        <w:pStyle w:val="Ohjeenteksti"/>
        <w:numPr>
          <w:ilvl w:val="0"/>
          <w:numId w:val="22"/>
        </w:numPr>
      </w:pPr>
      <w:r>
        <w:t xml:space="preserve">Miten hanke vahvistaa vesihuollon turvallisuutta, toimintavarmuutta ja varautumista </w:t>
      </w:r>
    </w:p>
    <w:p w14:paraId="76B6C56E" w14:textId="77777777" w:rsidR="00B303A8" w:rsidRDefault="00B303A8" w:rsidP="00B303A8">
      <w:pPr>
        <w:pStyle w:val="Ohjeenteksti"/>
        <w:numPr>
          <w:ilvl w:val="0"/>
          <w:numId w:val="22"/>
        </w:numPr>
      </w:pPr>
      <w:r>
        <w:t xml:space="preserve">Miten hanke edistää kansallisen vesihuoltouudistuksen toimenpiteitä ja tavoitteita mm. alueellisen yhteistyön kehittäminen ja rakennemuutoksen edistäminen </w:t>
      </w:r>
    </w:p>
    <w:p w14:paraId="5CC0FB2E" w14:textId="77777777" w:rsidR="00B303A8" w:rsidRDefault="00B303A8" w:rsidP="00B303A8">
      <w:pPr>
        <w:pStyle w:val="Ohjeenteksti"/>
        <w:numPr>
          <w:ilvl w:val="0"/>
          <w:numId w:val="22"/>
        </w:numPr>
      </w:pPr>
      <w:r>
        <w:t>Hankkeen vaikutus ja tarpeellisuus alueen vesihuoltopalvelujen turvaamiseksi – nykytilanne ja muutos hankkeen jälkeen</w:t>
      </w:r>
    </w:p>
    <w:p w14:paraId="7270F50A" w14:textId="77777777" w:rsidR="00B303A8" w:rsidRDefault="00B303A8" w:rsidP="00B303A8">
      <w:pPr>
        <w:pStyle w:val="Ohjeenteksti"/>
        <w:numPr>
          <w:ilvl w:val="0"/>
          <w:numId w:val="22"/>
        </w:numPr>
      </w:pPr>
      <w:r>
        <w:t>Hankkeessa mukana olevien vesihuoltolaitosten määrä ja/tai hankkeen laajuus sekä muut kumppanuudet</w:t>
      </w:r>
    </w:p>
    <w:p w14:paraId="72757EF6" w14:textId="77777777" w:rsidR="00B303A8" w:rsidRDefault="00B303A8" w:rsidP="00B303A8">
      <w:pPr>
        <w:pStyle w:val="Ohjeenteksti"/>
        <w:numPr>
          <w:ilvl w:val="0"/>
          <w:numId w:val="22"/>
        </w:numPr>
      </w:pPr>
      <w:r>
        <w:t>Ratkaisujen ja menettelyjen monistettavuus ja laajennettavuus</w:t>
      </w:r>
    </w:p>
    <w:p w14:paraId="209486CD" w14:textId="77777777" w:rsidR="00B303A8" w:rsidRDefault="00B303A8" w:rsidP="00B303A8">
      <w:pPr>
        <w:pStyle w:val="Ohjeenteksti"/>
        <w:numPr>
          <w:ilvl w:val="0"/>
          <w:numId w:val="22"/>
        </w:numPr>
      </w:pPr>
      <w:r>
        <w:t xml:space="preserve">Ratkaisujen ja menettelyjen laatu ja uutuus </w:t>
      </w:r>
    </w:p>
    <w:p w14:paraId="7D041B72" w14:textId="77777777" w:rsidR="00B303A8" w:rsidRDefault="00B303A8" w:rsidP="00B303A8">
      <w:pPr>
        <w:pStyle w:val="Ohjeenteksti"/>
        <w:numPr>
          <w:ilvl w:val="0"/>
          <w:numId w:val="22"/>
        </w:numPr>
      </w:pPr>
      <w:r>
        <w:t xml:space="preserve">Hankkeen tulosten tarkoituksenmukainen viestintä </w:t>
      </w:r>
    </w:p>
    <w:p w14:paraId="219DCE5D" w14:textId="77777777" w:rsidR="00B303A8" w:rsidRDefault="00B303A8" w:rsidP="00B303A8">
      <w:pPr>
        <w:pStyle w:val="Ohjeenotsikko2"/>
      </w:pPr>
      <w:r>
        <w:t>4. Kustannukset ja rahoitussuunnitelma</w:t>
      </w:r>
    </w:p>
    <w:p w14:paraId="3E0299A1" w14:textId="77777777" w:rsidR="00B303A8" w:rsidRDefault="00B303A8" w:rsidP="00B303A8">
      <w:pPr>
        <w:pStyle w:val="Ohjeenteksti"/>
      </w:pPr>
      <w:r>
        <w:t>Hankkeen kustannusten tulee olla kohtuullisia. Hakemukseen on tarvittaessa liitettävä esimerkiksi riittävä määrä tarjouksia hankinnoista tai muu selvitys kustannusten tasosta.</w:t>
      </w:r>
    </w:p>
    <w:p w14:paraId="04CC9926" w14:textId="77777777" w:rsidR="00B303A8" w:rsidRDefault="00B303A8" w:rsidP="00B303A8">
      <w:pPr>
        <w:pStyle w:val="Ohjeenteksti"/>
      </w:pPr>
      <w:r>
        <w:t xml:space="preserve">Todellisiin kustannuksiin perustuvassa mallissa hankkeen tukikelpoisiksi kustannuksiksi voidaan hyväksyä hankkeen toteuttamiseen liittyvien välittömien kustannusten ohella osuus niistä välillisistä kustannuksista, jotka voidaan kohdentaa hankkeelle perustellulla, tasapuolisella ja oikeudenmukaisella tavalla siinä suhteessa kuin ne ovat aiheutuneet hankkeesta. </w:t>
      </w:r>
    </w:p>
    <w:p w14:paraId="381BEA3F" w14:textId="77777777" w:rsidR="00B303A8" w:rsidRDefault="00B303A8" w:rsidP="00B303A8">
      <w:pPr>
        <w:pStyle w:val="Ohjeenteksti"/>
      </w:pPr>
      <w:r>
        <w:t>Hakija voi esittää myös kiinteämääräisen rahoituksen soveltamista hankkeen yleiskustannusten korvaamisessa. Tällöin todellisten kustannusten ohella korvataan kiinteämääräisesti 15 % suoria palkkakuluja vastaava määrä ja välillisiä kustannuksia ei korvata erikseen. Mallissa ei tarvita erillistä selvitystä kiinteämääräisestä osuudesta. Kiinteämääräisen rahoituksen mallia suositellaan erityisesti kehittämishankkeisiin sen mahdollistaessa kevyemmän hankehallinnon hankalasti todennettavissa olevien pienten välillisten kustannusten jäädessä kokonaan pois. Esimerkiksi ohjausryhmän kokous- ja matkakulut kuuluvat kiinteämääräiseen osuuteen, joita ei erikseen korvata. Sen sijaan hankehenkilöstön matkakulut voidaan laskuttaa toteutuneiden kustannusten mukaisesti.</w:t>
      </w:r>
    </w:p>
    <w:p w14:paraId="21F64982" w14:textId="77777777" w:rsidR="00B303A8" w:rsidRDefault="00B303A8" w:rsidP="00B303A8">
      <w:pPr>
        <w:pStyle w:val="Ohjeenteksti"/>
      </w:pPr>
      <w:r>
        <w:t xml:space="preserve">Erillisessä hankesuunnitelmassa on eriteltävä tarkemmin kustannusarvio, rahoitussuunnitelma ja toteuttamisaikataulu sekä tarpeelliset selvitykset tuen myöntämisen edellytysten arvioimiseksi. Hankesuunnitelmasta on käytävä selville mm. hakijan esittely, hankkeen tarve, tausta, kohderyhmä, toteutusalue, hyödynsaajat, toteutus ja toimenpiteet, aikataulu, tavoitteet, tulokset, vaikutukset, viestintä sekä seuranta ja raportointi. Kokonaisbudjetissa on tarvittaessa selvitetty myös osatoteuttajakohtaiset budjetit. </w:t>
      </w:r>
    </w:p>
    <w:p w14:paraId="006EB2CF" w14:textId="77777777" w:rsidR="00B303A8" w:rsidRDefault="00B303A8" w:rsidP="00B303A8">
      <w:pPr>
        <w:pStyle w:val="Ohjeenteksti"/>
      </w:pPr>
      <w:r>
        <w:t xml:space="preserve">Jos hankkeen julkisen rahoituksen osuus on yli 50 %, hankintalain soveltamisalaan kuuluvat hankinnat tulee kilpailuttaa julkisista hankinnoista annetun lain (1397/2016) edellyttämällä tavalla. </w:t>
      </w:r>
    </w:p>
    <w:p w14:paraId="31CE539E" w14:textId="77777777" w:rsidR="00B303A8" w:rsidRDefault="00B303A8" w:rsidP="00B303A8">
      <w:pPr>
        <w:pStyle w:val="Ohjeenteksti"/>
      </w:pPr>
      <w:r>
        <w:t>Ilmoita hankkeesta saatavat tulot. Avustettavasta hankkeesta saatavat tulot vähennetään kustannuksista. Hankkeen tuloja ovat hankkeen toteuttamiseksi hankittujen tavaroiden ja palvelujen sekä hankkeen tuotosten myynnistä saadut tulot sekä hankkeen hyödykkeistä ja toimitiloista saadut käyttökorvaukset. Hankkeen tulot vähentävät maksettavan avustuksen määrää. Huomioon otetaan tulot, jotka maksetaan avustuksen saajalle hankkeen toteuttamisaikana.</w:t>
      </w:r>
    </w:p>
    <w:p w14:paraId="536A9284" w14:textId="77777777" w:rsidR="00B303A8" w:rsidRDefault="00B303A8" w:rsidP="00B303A8">
      <w:pPr>
        <w:pStyle w:val="Ohjeenteksti"/>
      </w:pPr>
      <w:r>
        <w:t>Hankkeen rahoitussuunnitelmassa on eriteltävä julkisen rahoituksen ja yksityisen rahoituksen määrät. Avustushakemuksen liitteenä olevassa hankesuunnitelmassa on eriteltävä tarkemmin hakijan oma rahoitus sekä mahdollisten muiden vesihuoltolaitosten, kun-tien ja toimijoiden rahoitukset.</w:t>
      </w:r>
    </w:p>
    <w:p w14:paraId="3A83A72F" w14:textId="77777777" w:rsidR="00B303A8" w:rsidRDefault="00B303A8" w:rsidP="00B303A8">
      <w:pPr>
        <w:pStyle w:val="Ohjeenteksti"/>
      </w:pPr>
    </w:p>
    <w:p w14:paraId="67B19455" w14:textId="77777777" w:rsidR="00B303A8" w:rsidRDefault="00B303A8" w:rsidP="00B303A8">
      <w:pPr>
        <w:pStyle w:val="Ohjeenteksti"/>
      </w:pPr>
      <w:r>
        <w:t xml:space="preserve">Hakija voi myös esittää hankkeen kustannuksiin kuuluvaksi vastikkeetonta työtä. Oma-vastuuosuutena voidaan huomioida sellainen vastikkeetta tehtävä työ, joka on tarpeen hankkeen toteuttamiseksi. Jos hankkeeseen sisältyy vastikkeetonta työtä, tulee hankesuunnitelmassa olla tarkempi selvitys mitä kustannukset pitävät sisällään. </w:t>
      </w:r>
    </w:p>
    <w:p w14:paraId="22946E0D" w14:textId="77777777" w:rsidR="00B303A8" w:rsidRDefault="00B303A8" w:rsidP="00B303A8">
      <w:pPr>
        <w:pStyle w:val="Ohjeenotsikko2"/>
      </w:pPr>
      <w:r>
        <w:t>5. Aikaisempi vähämerkityksinen tuki</w:t>
      </w:r>
    </w:p>
    <w:p w14:paraId="334EB527" w14:textId="77777777" w:rsidR="00B303A8" w:rsidRDefault="00B303A8" w:rsidP="00B303A8">
      <w:pPr>
        <w:pStyle w:val="Ohjeenteksti"/>
      </w:pPr>
      <w:r>
        <w:t xml:space="preserve">Yrityksen/yritysten konsernitasolla aikaisemmin saama vähämerkityksinen tuki. Hakijan tulee ilmoittaa hakemuslomakkeessa, paljonko yritys on saanut eri viranomaisilta vähämerkityksistä - tukea kuluvan ja kahden edellisen verovuoden aikana. Lisätietoja vähämerkityksisestä tuesta eli de minimis -tuesta löytyy työ- ja elinkeinoministeriön sivulta: </w:t>
      </w:r>
      <w:hyperlink r:id="rId7" w:history="1">
        <w:r w:rsidRPr="00F316B6">
          <w:rPr>
            <w:rStyle w:val="Hyperlinkki"/>
          </w:rPr>
          <w:t>http://tem.fi/vahamerkityksinen-tuki-eli-de-minimis-tuki</w:t>
        </w:r>
      </w:hyperlink>
      <w:r>
        <w:t xml:space="preserve">.  </w:t>
      </w:r>
    </w:p>
    <w:p w14:paraId="6D885722" w14:textId="77777777" w:rsidR="00B303A8" w:rsidRDefault="00B303A8" w:rsidP="00A92D25">
      <w:pPr>
        <w:pStyle w:val="Ohjeenotsikko2"/>
      </w:pPr>
      <w:r>
        <w:t xml:space="preserve">6. Allekirjoitus </w:t>
      </w:r>
    </w:p>
    <w:p w14:paraId="22839582" w14:textId="77777777" w:rsidR="00B303A8" w:rsidRDefault="00B303A8" w:rsidP="00B303A8">
      <w:pPr>
        <w:pStyle w:val="Ohjeenteksti"/>
      </w:pPr>
      <w:r>
        <w:t xml:space="preserve">Hakijan tulee lukea ao. teksti huolellisesti läpi ennen allekirjoitusta. </w:t>
      </w:r>
    </w:p>
    <w:p w14:paraId="2D0B7445" w14:textId="77777777" w:rsidR="00B303A8" w:rsidRDefault="00B303A8" w:rsidP="00B303A8">
      <w:pPr>
        <w:pStyle w:val="Ohjeenteksti"/>
      </w:pPr>
      <w:r>
        <w:t xml:space="preserve">Hakemuksen allekirjoittaa hankkeen toteuttamisesta oikeudellisesti vastaava henkilö, jolla on nimenkirjoitusoikeus. </w:t>
      </w:r>
      <w:r w:rsidRPr="009E0C1F">
        <w:rPr>
          <w:b/>
          <w:bCs/>
        </w:rPr>
        <w:t>Nimenkirjoitusoikeus on käytävä selville hakemuksen liitteenä olevista asiakirjoista.</w:t>
      </w:r>
      <w:r>
        <w:t xml:space="preserve"> </w:t>
      </w:r>
    </w:p>
    <w:p w14:paraId="2B783EF4" w14:textId="77777777" w:rsidR="00B303A8" w:rsidRDefault="00B303A8" w:rsidP="00B303A8">
      <w:pPr>
        <w:pStyle w:val="Ohjeenteksti"/>
      </w:pPr>
      <w:r>
        <w:t>Hakija vastaa mm. hankkeen tavoitteiden toteuttamisesta, varojen käytöstä ja niiden seurannasta ja raportoinnista</w:t>
      </w:r>
    </w:p>
    <w:p w14:paraId="3F13DFD9" w14:textId="77777777" w:rsidR="00B303A8" w:rsidRPr="00712EF9" w:rsidRDefault="00B303A8" w:rsidP="00B303A8">
      <w:pPr>
        <w:pStyle w:val="Ohjeenteksti"/>
      </w:pPr>
    </w:p>
    <w:p w14:paraId="0D5F36F0" w14:textId="77777777" w:rsidR="000F4A0F" w:rsidRPr="00712EF9" w:rsidRDefault="000F4A0F" w:rsidP="00712EF9"/>
    <w:sectPr w:rsidR="000F4A0F" w:rsidRPr="00712EF9" w:rsidSect="00FB1C5F">
      <w:footerReference w:type="default" r:id="rId8"/>
      <w:headerReference w:type="first" r:id="rId9"/>
      <w:footerReference w:type="first" r:id="rId10"/>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792558A8" w:rsidR="00E44749" w:rsidRPr="003926B3" w:rsidRDefault="009F7E11" w:rsidP="00AE7B77">
    <w:pPr>
      <w:pBdr>
        <w:top w:val="single" w:sz="4" w:space="1" w:color="auto"/>
      </w:pBdr>
      <w:rPr>
        <w:sz w:val="14"/>
        <w:szCs w:val="14"/>
      </w:rPr>
    </w:pPr>
    <w:r>
      <w:rPr>
        <w:sz w:val="14"/>
        <w:szCs w:val="14"/>
      </w:rPr>
      <w:t>ely20</w:t>
    </w:r>
    <w:r w:rsidR="00542ED6">
      <w:rPr>
        <w:sz w:val="14"/>
        <w:szCs w:val="14"/>
      </w:rPr>
      <w:t>y</w:t>
    </w:r>
    <w:r>
      <w:rPr>
        <w:sz w:val="14"/>
        <w:szCs w:val="14"/>
      </w:rPr>
      <w:t>3i_fi 09/2023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13855F85" w:rsidR="00FB1C5F" w:rsidRPr="003926B3" w:rsidRDefault="00082CAF" w:rsidP="00FB1C5F">
    <w:pPr>
      <w:pBdr>
        <w:top w:val="single" w:sz="4" w:space="1" w:color="auto"/>
      </w:pBdr>
      <w:rPr>
        <w:sz w:val="14"/>
        <w:szCs w:val="14"/>
      </w:rPr>
    </w:pPr>
    <w:r>
      <w:rPr>
        <w:sz w:val="14"/>
        <w:szCs w:val="14"/>
      </w:rPr>
      <w:t>ely</w:t>
    </w:r>
    <w:r w:rsidR="009F7E11">
      <w:rPr>
        <w:sz w:val="14"/>
        <w:szCs w:val="14"/>
      </w:rPr>
      <w:t>20</w:t>
    </w:r>
    <w:r w:rsidR="00542ED6">
      <w:rPr>
        <w:sz w:val="14"/>
        <w:szCs w:val="14"/>
      </w:rPr>
      <w:t>y</w:t>
    </w:r>
    <w:r w:rsidR="009F7E11">
      <w:rPr>
        <w:sz w:val="14"/>
        <w:szCs w:val="14"/>
      </w:rPr>
      <w:t>3</w:t>
    </w:r>
    <w:r w:rsidR="00FB1C5F">
      <w:rPr>
        <w:sz w:val="14"/>
        <w:szCs w:val="14"/>
      </w:rPr>
      <w:t>i</w:t>
    </w:r>
    <w:r w:rsidR="009F7E11">
      <w:rPr>
        <w:sz w:val="14"/>
        <w:szCs w:val="14"/>
      </w:rPr>
      <w:t>_fi 09/2023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11E71919" w:rsidR="00FB1C5F" w:rsidRDefault="00B303A8">
    <w:pPr>
      <w:pStyle w:val="Yltunniste"/>
    </w:pPr>
    <w:r>
      <w:rPr>
        <w:noProof/>
        <w:spacing w:val="40"/>
        <w:sz w:val="12"/>
      </w:rPr>
      <w:drawing>
        <wp:inline distT="0" distB="0" distL="0" distR="0" wp14:anchorId="54F901EE" wp14:editId="3D2D6777">
          <wp:extent cx="1981200" cy="504825"/>
          <wp:effectExtent l="0" t="0" r="0" b="0"/>
          <wp:docPr id="1" name="Kuva 1"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Elinkeino-, liikenne- ja ympäristökes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52112FB"/>
    <w:multiLevelType w:val="hybridMultilevel"/>
    <w:tmpl w:val="AC26A012"/>
    <w:lvl w:ilvl="0" w:tplc="FFFFFFFF">
      <w:start w:val="7"/>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5"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9"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1"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2"/>
  </w:num>
  <w:num w:numId="2" w16cid:durableId="751245622">
    <w:abstractNumId w:val="4"/>
  </w:num>
  <w:num w:numId="3" w16cid:durableId="1474366457">
    <w:abstractNumId w:val="9"/>
  </w:num>
  <w:num w:numId="4" w16cid:durableId="1947271572">
    <w:abstractNumId w:val="8"/>
  </w:num>
  <w:num w:numId="5" w16cid:durableId="815882339">
    <w:abstractNumId w:val="14"/>
  </w:num>
  <w:num w:numId="6" w16cid:durableId="1957783882">
    <w:abstractNumId w:val="10"/>
  </w:num>
  <w:num w:numId="7" w16cid:durableId="465122796">
    <w:abstractNumId w:val="21"/>
  </w:num>
  <w:num w:numId="8" w16cid:durableId="1610090982">
    <w:abstractNumId w:val="7"/>
  </w:num>
  <w:num w:numId="9" w16cid:durableId="1984767643">
    <w:abstractNumId w:val="15"/>
  </w:num>
  <w:num w:numId="10" w16cid:durableId="1005590016">
    <w:abstractNumId w:val="16"/>
  </w:num>
  <w:num w:numId="11" w16cid:durableId="881139877">
    <w:abstractNumId w:val="17"/>
  </w:num>
  <w:num w:numId="12" w16cid:durableId="366681025">
    <w:abstractNumId w:val="3"/>
  </w:num>
  <w:num w:numId="13" w16cid:durableId="1881748135">
    <w:abstractNumId w:val="1"/>
  </w:num>
  <w:num w:numId="14" w16cid:durableId="2147310174">
    <w:abstractNumId w:val="19"/>
  </w:num>
  <w:num w:numId="15" w16cid:durableId="32733639">
    <w:abstractNumId w:val="20"/>
  </w:num>
  <w:num w:numId="16" w16cid:durableId="160587945">
    <w:abstractNumId w:val="11"/>
  </w:num>
  <w:num w:numId="17" w16cid:durableId="2015766448">
    <w:abstractNumId w:val="2"/>
  </w:num>
  <w:num w:numId="18" w16cid:durableId="1284073485">
    <w:abstractNumId w:val="5"/>
  </w:num>
  <w:num w:numId="19" w16cid:durableId="183521197">
    <w:abstractNumId w:val="0"/>
  </w:num>
  <w:num w:numId="20" w16cid:durableId="1684477751">
    <w:abstractNumId w:val="13"/>
  </w:num>
  <w:num w:numId="21" w16cid:durableId="1265187019">
    <w:abstractNumId w:val="18"/>
  </w:num>
  <w:num w:numId="22" w16cid:durableId="735858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44364"/>
    <w:rsid w:val="00082CAF"/>
    <w:rsid w:val="000B3927"/>
    <w:rsid w:val="000F00CB"/>
    <w:rsid w:val="000F4A0F"/>
    <w:rsid w:val="00130D37"/>
    <w:rsid w:val="001704CB"/>
    <w:rsid w:val="00176A4B"/>
    <w:rsid w:val="00196E5D"/>
    <w:rsid w:val="001C6224"/>
    <w:rsid w:val="001D77BF"/>
    <w:rsid w:val="00213704"/>
    <w:rsid w:val="00250663"/>
    <w:rsid w:val="00254A66"/>
    <w:rsid w:val="00276FAE"/>
    <w:rsid w:val="002B10A0"/>
    <w:rsid w:val="002E7B9D"/>
    <w:rsid w:val="002F7843"/>
    <w:rsid w:val="00332323"/>
    <w:rsid w:val="00336DD4"/>
    <w:rsid w:val="00385A30"/>
    <w:rsid w:val="003926B3"/>
    <w:rsid w:val="003A3C68"/>
    <w:rsid w:val="003B5A5C"/>
    <w:rsid w:val="003C095C"/>
    <w:rsid w:val="003E51BC"/>
    <w:rsid w:val="003F4060"/>
    <w:rsid w:val="004346DC"/>
    <w:rsid w:val="004537B5"/>
    <w:rsid w:val="004632AA"/>
    <w:rsid w:val="00463A1B"/>
    <w:rsid w:val="00475342"/>
    <w:rsid w:val="00484E35"/>
    <w:rsid w:val="004B132E"/>
    <w:rsid w:val="00500B7E"/>
    <w:rsid w:val="00504FCF"/>
    <w:rsid w:val="00522594"/>
    <w:rsid w:val="00542ED6"/>
    <w:rsid w:val="00576B63"/>
    <w:rsid w:val="005A6731"/>
    <w:rsid w:val="005B2514"/>
    <w:rsid w:val="005C5E5A"/>
    <w:rsid w:val="005D5F87"/>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E27A0"/>
    <w:rsid w:val="009178F2"/>
    <w:rsid w:val="00950E78"/>
    <w:rsid w:val="00967B8B"/>
    <w:rsid w:val="009744D1"/>
    <w:rsid w:val="009C39CD"/>
    <w:rsid w:val="009E0C1F"/>
    <w:rsid w:val="009E1FFF"/>
    <w:rsid w:val="009E7CC9"/>
    <w:rsid w:val="009F463D"/>
    <w:rsid w:val="009F7E11"/>
    <w:rsid w:val="00A269B8"/>
    <w:rsid w:val="00A64A91"/>
    <w:rsid w:val="00A92D25"/>
    <w:rsid w:val="00A95AE7"/>
    <w:rsid w:val="00AB024E"/>
    <w:rsid w:val="00AB3FA4"/>
    <w:rsid w:val="00AE3C2C"/>
    <w:rsid w:val="00AE7B77"/>
    <w:rsid w:val="00B2469D"/>
    <w:rsid w:val="00B303A8"/>
    <w:rsid w:val="00B5291B"/>
    <w:rsid w:val="00BA7B70"/>
    <w:rsid w:val="00BB4A12"/>
    <w:rsid w:val="00BB7DCA"/>
    <w:rsid w:val="00BC053C"/>
    <w:rsid w:val="00BE56FF"/>
    <w:rsid w:val="00C31830"/>
    <w:rsid w:val="00C561D7"/>
    <w:rsid w:val="00C63CD4"/>
    <w:rsid w:val="00C7017C"/>
    <w:rsid w:val="00C73134"/>
    <w:rsid w:val="00C90EEF"/>
    <w:rsid w:val="00CC01EF"/>
    <w:rsid w:val="00CC767D"/>
    <w:rsid w:val="00D103CE"/>
    <w:rsid w:val="00D11716"/>
    <w:rsid w:val="00D50942"/>
    <w:rsid w:val="00D75470"/>
    <w:rsid w:val="00DA13F6"/>
    <w:rsid w:val="00DB14F5"/>
    <w:rsid w:val="00DB7EFC"/>
    <w:rsid w:val="00DD0B2F"/>
    <w:rsid w:val="00DD4625"/>
    <w:rsid w:val="00DD4C6F"/>
    <w:rsid w:val="00E25E5D"/>
    <w:rsid w:val="00E33521"/>
    <w:rsid w:val="00E44749"/>
    <w:rsid w:val="00E44B41"/>
    <w:rsid w:val="00E751D2"/>
    <w:rsid w:val="00E832D7"/>
    <w:rsid w:val="00E9253E"/>
    <w:rsid w:val="00E92721"/>
    <w:rsid w:val="00EB6B00"/>
    <w:rsid w:val="00ED3273"/>
    <w:rsid w:val="00EE09A3"/>
    <w:rsid w:val="00F55332"/>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0F4A0F"/>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m.fi/vahamerkityksinen-tuki-eli-de-minimis-tu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688</Words>
  <Characters>6091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Avustushakemuksen täyttöohje vesihuollon toimintavarmuuden ja kyberturvallisuuden parantamisen hankkeille</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Avustushakemuksen täyttöohje vesihuollon toimintavarmuuden ja kyberturvallisuuden parantamisen hankkeille</dc:title>
  <dc:subject/>
  <dc:creator/>
  <cp:keywords>ely20y3i_fi</cp:keywords>
  <dc:description/>
  <cp:lastModifiedBy>Himanen Marko (ELY)</cp:lastModifiedBy>
  <cp:revision>7</cp:revision>
  <cp:lastPrinted>2010-10-06T08:26:00Z</cp:lastPrinted>
  <dcterms:created xsi:type="dcterms:W3CDTF">2023-09-12T11:24:00Z</dcterms:created>
  <dcterms:modified xsi:type="dcterms:W3CDTF">2023-09-15T12:23:00Z</dcterms:modified>
</cp:coreProperties>
</file>